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EF8D4" w14:textId="77777777" w:rsidR="00B70697" w:rsidRDefault="00B70697">
      <w:pPr>
        <w:widowControl w:val="0"/>
        <w:pBdr>
          <w:top w:val="nil"/>
          <w:left w:val="nil"/>
          <w:bottom w:val="nil"/>
          <w:right w:val="nil"/>
          <w:between w:val="nil"/>
        </w:pBdr>
        <w:spacing w:line="276" w:lineRule="auto"/>
      </w:pPr>
    </w:p>
    <w:p w14:paraId="3E3C89AC" w14:textId="4B5B04CC" w:rsidR="00B70697" w:rsidRDefault="00312B5F">
      <w:pPr>
        <w:pStyle w:val="Heading1"/>
        <w:spacing w:before="160" w:after="0" w:line="240" w:lineRule="auto"/>
      </w:pPr>
      <w:r>
        <w:t xml:space="preserve">Example RLF </w:t>
      </w:r>
      <w:r w:rsidR="004F4D87">
        <w:t xml:space="preserve">Direct Lending </w:t>
      </w:r>
      <w:r>
        <w:t xml:space="preserve">Program Term Sheet </w:t>
      </w:r>
    </w:p>
    <w:p w14:paraId="337A6F37" w14:textId="77777777" w:rsidR="00B70697" w:rsidRDefault="00B70697"/>
    <w:p w14:paraId="7B0961C0" w14:textId="77777777" w:rsidR="00B70697" w:rsidRDefault="00312B5F">
      <w:pPr>
        <w:pStyle w:val="Heading2"/>
      </w:pPr>
      <w:r>
        <w:t>Purpose</w:t>
      </w:r>
    </w:p>
    <w:p w14:paraId="31F7FB9C" w14:textId="77777777" w:rsidR="00B70697" w:rsidRDefault="00312B5F">
      <w:pPr>
        <w:spacing w:line="276" w:lineRule="auto"/>
      </w:pPr>
      <w:r>
        <w:t xml:space="preserve">This document offers a proposed term sheet template that can be used by state energy offices to summarize their proposed revolving loan fund structure and operational processes to solicit market feedback from potential service providers, lenders, or lending organizations, if allowed by their procurement processes.  The numerical items in this term sheet are illustrative and state energy offices should determine the values they wish to use in their program design.  </w:t>
      </w:r>
    </w:p>
    <w:p w14:paraId="117C6911" w14:textId="77777777" w:rsidR="00B70697" w:rsidRDefault="00B70697">
      <w:pPr>
        <w:spacing w:line="276" w:lineRule="auto"/>
      </w:pPr>
    </w:p>
    <w:p w14:paraId="6CD75909" w14:textId="77777777" w:rsidR="00B70697" w:rsidRDefault="00312B5F">
      <w:pPr>
        <w:spacing w:line="276" w:lineRule="auto"/>
      </w:pPr>
      <w:r>
        <w:rPr>
          <w:sz w:val="18"/>
          <w:szCs w:val="18"/>
        </w:rPr>
        <w:t xml:space="preserve">Note: This resource was prepared based on the requirements of the </w:t>
      </w:r>
      <w:hyperlink r:id="rId8">
        <w:r>
          <w:rPr>
            <w:color w:val="0000FF"/>
            <w:sz w:val="18"/>
            <w:szCs w:val="18"/>
            <w:u w:val="single"/>
          </w:rPr>
          <w:t>Energy Efficiency Revolving Loan Fund Capitalization Grant Program</w:t>
        </w:r>
      </w:hyperlink>
      <w:r>
        <w:rPr>
          <w:sz w:val="18"/>
          <w:szCs w:val="18"/>
        </w:rPr>
        <w:t xml:space="preserve"> (Bipartisan Infrastructure Law Section 40502), , e.g., project eligibility, energy audit requirements, borrowers eligibility, and monthly report. Adapt as needed if utilizing for RLF programs associated with other funding sources.</w:t>
      </w:r>
    </w:p>
    <w:p w14:paraId="1C7FA063" w14:textId="77777777" w:rsidR="00B70697" w:rsidRDefault="00312B5F">
      <w:pPr>
        <w:spacing w:line="240" w:lineRule="auto"/>
        <w:rPr>
          <w:rFonts w:ascii="Arial" w:eastAsia="Arial" w:hAnsi="Arial" w:cs="Arial"/>
          <w:color w:val="177CA3"/>
          <w:sz w:val="32"/>
          <w:szCs w:val="32"/>
        </w:rPr>
      </w:pPr>
      <w:r>
        <w:br w:type="page"/>
      </w:r>
    </w:p>
    <w:p w14:paraId="6738C204" w14:textId="23808151" w:rsidR="00B70697" w:rsidRDefault="00312B5F">
      <w:pPr>
        <w:spacing w:line="240" w:lineRule="auto"/>
      </w:pPr>
      <w:r>
        <w:rPr>
          <w:rFonts w:ascii="Arial" w:eastAsia="Arial" w:hAnsi="Arial" w:cs="Arial"/>
          <w:color w:val="177CA3"/>
          <w:sz w:val="32"/>
          <w:szCs w:val="32"/>
        </w:rPr>
        <w:lastRenderedPageBreak/>
        <w:t xml:space="preserve">Example RLF </w:t>
      </w:r>
      <w:r w:rsidR="004F4D87">
        <w:rPr>
          <w:rFonts w:ascii="Arial" w:eastAsia="Arial" w:hAnsi="Arial" w:cs="Arial"/>
          <w:color w:val="177CA3"/>
          <w:sz w:val="32"/>
          <w:szCs w:val="32"/>
        </w:rPr>
        <w:t xml:space="preserve">Direct Lending </w:t>
      </w:r>
      <w:r>
        <w:rPr>
          <w:rFonts w:ascii="Arial" w:eastAsia="Arial" w:hAnsi="Arial" w:cs="Arial"/>
          <w:color w:val="177CA3"/>
          <w:sz w:val="32"/>
          <w:szCs w:val="32"/>
        </w:rPr>
        <w:t>Program Term Sheet</w:t>
      </w:r>
      <w:r>
        <w:br/>
      </w:r>
      <w:r>
        <w:br/>
      </w:r>
      <w:r>
        <w:rPr>
          <w:b/>
          <w:bCs/>
          <w:u w:val="single"/>
        </w:rPr>
        <w:t>DRAFT</w:t>
      </w:r>
      <w:r>
        <w:t xml:space="preserve"> Preliminary, subject to change</w:t>
      </w:r>
    </w:p>
    <w:p w14:paraId="0777FB4F" w14:textId="77777777" w:rsidR="00B70697" w:rsidRDefault="00B70697">
      <w:pPr>
        <w:pBdr>
          <w:top w:val="nil"/>
          <w:left w:val="nil"/>
          <w:bottom w:val="nil"/>
          <w:right w:val="nil"/>
          <w:between w:val="nil"/>
        </w:pBdr>
        <w:spacing w:line="240" w:lineRule="auto"/>
        <w:rPr>
          <w:rFonts w:ascii="Arial" w:eastAsia="Arial" w:hAnsi="Arial" w:cs="Arial"/>
          <w:color w:val="000000"/>
        </w:rPr>
      </w:pPr>
    </w:p>
    <w:tbl>
      <w:tblPr>
        <w:tblStyle w:val="a"/>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8400"/>
      </w:tblGrid>
      <w:tr w:rsidR="00B70697" w14:paraId="281387EF" w14:textId="77777777">
        <w:tc>
          <w:tcPr>
            <w:tcW w:w="1755" w:type="dxa"/>
          </w:tcPr>
          <w:p w14:paraId="20F0AFBC"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w:t>
            </w:r>
          </w:p>
        </w:tc>
        <w:tc>
          <w:tcPr>
            <w:tcW w:w="8400" w:type="dxa"/>
          </w:tcPr>
          <w:p w14:paraId="4C929550"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000000"/>
              </w:rPr>
              <w:t>State of</w:t>
            </w:r>
            <w:r>
              <w:rPr>
                <w:rFonts w:ascii="Arial" w:eastAsia="Arial" w:hAnsi="Arial" w:cs="Arial"/>
                <w:color w:val="FF0000"/>
              </w:rPr>
              <w:t xml:space="preserve"> [State]</w:t>
            </w:r>
            <w:r>
              <w:rPr>
                <w:rFonts w:ascii="Arial" w:eastAsia="Arial" w:hAnsi="Arial" w:cs="Arial"/>
                <w:color w:val="000000"/>
              </w:rPr>
              <w:t xml:space="preserve">, acting through </w:t>
            </w:r>
            <w:r>
              <w:rPr>
                <w:rFonts w:ascii="Arial" w:eastAsia="Arial" w:hAnsi="Arial" w:cs="Arial"/>
                <w:color w:val="FF0000"/>
              </w:rPr>
              <w:t>[Agency/Department]</w:t>
            </w:r>
          </w:p>
          <w:p w14:paraId="2E770BFC" w14:textId="77777777" w:rsidR="00B70697" w:rsidRDefault="00B70697">
            <w:pPr>
              <w:pBdr>
                <w:top w:val="nil"/>
                <w:left w:val="nil"/>
                <w:bottom w:val="nil"/>
                <w:right w:val="nil"/>
                <w:between w:val="nil"/>
              </w:pBdr>
              <w:spacing w:line="240" w:lineRule="auto"/>
              <w:rPr>
                <w:rFonts w:ascii="Arial" w:eastAsia="Arial" w:hAnsi="Arial" w:cs="Arial"/>
                <w:color w:val="000000"/>
              </w:rPr>
            </w:pPr>
          </w:p>
        </w:tc>
      </w:tr>
      <w:tr w:rsidR="00B70697" w14:paraId="0E23FA4E" w14:textId="77777777">
        <w:tc>
          <w:tcPr>
            <w:tcW w:w="1755" w:type="dxa"/>
          </w:tcPr>
          <w:p w14:paraId="105296F2"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Funding/ authorization</w:t>
            </w:r>
          </w:p>
        </w:tc>
        <w:tc>
          <w:tcPr>
            <w:tcW w:w="8400" w:type="dxa"/>
          </w:tcPr>
          <w:p w14:paraId="4B758174"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Program Sponsor has received an allocation of </w:t>
            </w:r>
            <w:r>
              <w:rPr>
                <w:rFonts w:ascii="Arial" w:eastAsia="Arial" w:hAnsi="Arial" w:cs="Arial"/>
                <w:color w:val="FF0000"/>
              </w:rPr>
              <w:t>[$x,xxx,xxx]</w:t>
            </w:r>
            <w:r>
              <w:rPr>
                <w:rFonts w:ascii="Arial" w:eastAsia="Arial" w:hAnsi="Arial" w:cs="Arial"/>
                <w:color w:val="000000"/>
              </w:rPr>
              <w:t xml:space="preserve"> under U.S. Department of Energy’s Energy Efficiency Revolving Loan Fund Capitalization Grant Program, authorized under Section 40502 of the Infrastructure Investment and Jobs Act, commonly referred to as the Bipartisan Infrastructure Law. Program Sponsor will use:</w:t>
            </w:r>
          </w:p>
          <w:p w14:paraId="75F41A2D" w14:textId="77777777" w:rsidR="00B70697" w:rsidRDefault="00312B5F">
            <w:pPr>
              <w:numPr>
                <w:ilvl w:val="0"/>
                <w:numId w:val="3"/>
              </w:numPr>
              <w:pBdr>
                <w:top w:val="nil"/>
                <w:left w:val="nil"/>
                <w:bottom w:val="nil"/>
                <w:right w:val="nil"/>
                <w:between w:val="nil"/>
              </w:pBdr>
              <w:spacing w:line="240" w:lineRule="auto"/>
            </w:pPr>
            <w:r>
              <w:rPr>
                <w:rFonts w:ascii="Arial" w:eastAsia="Arial" w:hAnsi="Arial" w:cs="Arial"/>
                <w:color w:val="000000"/>
              </w:rPr>
              <w:t xml:space="preserve">up to </w:t>
            </w:r>
            <w:r>
              <w:rPr>
                <w:rFonts w:ascii="Arial" w:eastAsia="Arial" w:hAnsi="Arial" w:cs="Arial"/>
                <w:color w:val="FF0000"/>
              </w:rPr>
              <w:t>[$xxx,xxx]</w:t>
            </w:r>
            <w:r>
              <w:rPr>
                <w:rFonts w:ascii="Arial" w:eastAsia="Arial" w:hAnsi="Arial" w:cs="Arial"/>
                <w:color w:val="000000"/>
              </w:rPr>
              <w:t xml:space="preserve"> for program administration costs.</w:t>
            </w:r>
          </w:p>
          <w:p w14:paraId="309D24CA" w14:textId="77777777" w:rsidR="00B70697" w:rsidRDefault="00312B5F">
            <w:pPr>
              <w:numPr>
                <w:ilvl w:val="0"/>
                <w:numId w:val="3"/>
              </w:numPr>
              <w:pBdr>
                <w:top w:val="nil"/>
                <w:left w:val="nil"/>
                <w:bottom w:val="nil"/>
                <w:right w:val="nil"/>
                <w:between w:val="nil"/>
              </w:pBdr>
              <w:spacing w:line="240" w:lineRule="auto"/>
            </w:pPr>
            <w:r>
              <w:rPr>
                <w:rFonts w:ascii="Arial" w:eastAsia="Arial" w:hAnsi="Arial" w:cs="Arial"/>
                <w:color w:val="FF0000"/>
              </w:rPr>
              <w:t>[up to $xxx,xxx for grant payments by Program Sponsor for the cost of Energy Audits for Eligible Projects.]</w:t>
            </w:r>
            <w:r>
              <w:rPr>
                <w:rFonts w:ascii="Arial" w:eastAsia="Arial" w:hAnsi="Arial" w:cs="Arial"/>
                <w:color w:val="000000"/>
              </w:rPr>
              <w:t xml:space="preserve"> </w:t>
            </w:r>
          </w:p>
          <w:p w14:paraId="1799175A" w14:textId="77777777" w:rsidR="00B70697" w:rsidRDefault="00312B5F">
            <w:pPr>
              <w:numPr>
                <w:ilvl w:val="0"/>
                <w:numId w:val="3"/>
              </w:numPr>
              <w:pBdr>
                <w:top w:val="nil"/>
                <w:left w:val="nil"/>
                <w:bottom w:val="nil"/>
                <w:right w:val="nil"/>
                <w:between w:val="nil"/>
              </w:pBdr>
              <w:spacing w:line="240" w:lineRule="auto"/>
              <w:rPr>
                <w:rFonts w:ascii="Arial" w:eastAsia="Arial" w:hAnsi="Arial" w:cs="Arial"/>
                <w:i/>
                <w:iCs/>
                <w:color w:val="000000"/>
              </w:rPr>
            </w:pPr>
            <w:r>
              <w:rPr>
                <w:rFonts w:ascii="Arial" w:eastAsia="Arial" w:hAnsi="Arial" w:cs="Arial"/>
                <w:color w:val="000000"/>
              </w:rPr>
              <w:t xml:space="preserve">not less than </w:t>
            </w:r>
            <w:r>
              <w:rPr>
                <w:rFonts w:ascii="Arial" w:eastAsia="Arial" w:hAnsi="Arial" w:cs="Arial"/>
                <w:color w:val="FF0000"/>
              </w:rPr>
              <w:t>[$x,xxx,xxx]</w:t>
            </w:r>
            <w:r>
              <w:rPr>
                <w:rFonts w:ascii="Arial" w:eastAsia="Arial" w:hAnsi="Arial" w:cs="Arial"/>
                <w:color w:val="000000"/>
              </w:rPr>
              <w:t xml:space="preserve"> for participation in loans issued by Program Lender to finance Eligible Projects.</w:t>
            </w:r>
          </w:p>
          <w:p w14:paraId="6721937C"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000000"/>
              </w:rPr>
              <w:t xml:space="preserve">The Program shall be available on a first-come, first-served basis </w:t>
            </w:r>
            <w:r>
              <w:rPr>
                <w:rFonts w:ascii="Arial" w:eastAsia="Arial" w:hAnsi="Arial" w:cs="Arial"/>
                <w:color w:val="FF0000"/>
              </w:rPr>
              <w:t>[or describe process for project application and approval]</w:t>
            </w:r>
          </w:p>
        </w:tc>
      </w:tr>
      <w:tr w:rsidR="00B70697" w14:paraId="21DD1F5B" w14:textId="77777777">
        <w:tc>
          <w:tcPr>
            <w:tcW w:w="1755" w:type="dxa"/>
          </w:tcPr>
          <w:p w14:paraId="1546384A"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Administrator</w:t>
            </w:r>
          </w:p>
          <w:p w14:paraId="41EA19F7"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00" w:type="dxa"/>
          </w:tcPr>
          <w:p w14:paraId="4CF30394" w14:textId="77777777" w:rsidR="00B70697" w:rsidRDefault="00312B5F">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the program will use a Program Administrator to perform financial and operational activities, identify the entity, if known, or how they will be selected.  Describe the Program Administrator’s responsibilities.)</w:t>
            </w:r>
          </w:p>
        </w:tc>
      </w:tr>
      <w:tr w:rsidR="00B70697" w14:paraId="5C9F76ED" w14:textId="77777777">
        <w:tc>
          <w:tcPr>
            <w:tcW w:w="1755" w:type="dxa"/>
          </w:tcPr>
          <w:p w14:paraId="3B08B0B0"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Lender(s)</w:t>
            </w:r>
          </w:p>
        </w:tc>
        <w:tc>
          <w:tcPr>
            <w:tcW w:w="8400" w:type="dxa"/>
          </w:tcPr>
          <w:p w14:paraId="576F267B" w14:textId="4B10E23D" w:rsidR="00B70697" w:rsidRDefault="00312B5F">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w:t>
            </w:r>
            <w:r w:rsidR="004F4D87">
              <w:rPr>
                <w:rFonts w:ascii="Arial" w:eastAsia="Arial" w:hAnsi="Arial" w:cs="Arial"/>
                <w:i/>
                <w:iCs/>
                <w:color w:val="FF0000"/>
              </w:rPr>
              <w:t>St</w:t>
            </w:r>
            <w:r>
              <w:rPr>
                <w:rFonts w:ascii="Arial" w:eastAsia="Arial" w:hAnsi="Arial" w:cs="Arial"/>
                <w:i/>
                <w:iCs/>
                <w:color w:val="FF0000"/>
              </w:rPr>
              <w:t>ate the name of the Program Lender</w:t>
            </w:r>
            <w:r w:rsidR="004F4D87">
              <w:rPr>
                <w:rFonts w:ascii="Arial" w:eastAsia="Arial" w:hAnsi="Arial" w:cs="Arial"/>
                <w:i/>
                <w:iCs/>
                <w:color w:val="FF0000"/>
              </w:rPr>
              <w:t>; which may or may not be the same as the Program Sponsor</w:t>
            </w:r>
            <w:r>
              <w:rPr>
                <w:rFonts w:ascii="Arial" w:eastAsia="Arial" w:hAnsi="Arial" w:cs="Arial"/>
                <w:i/>
                <w:iCs/>
                <w:color w:val="FF0000"/>
              </w:rPr>
              <w:t>)</w:t>
            </w:r>
          </w:p>
          <w:p w14:paraId="161B462A" w14:textId="77777777" w:rsidR="00312B5F" w:rsidRDefault="00312B5F">
            <w:pPr>
              <w:pBdr>
                <w:top w:val="nil"/>
                <w:left w:val="nil"/>
                <w:bottom w:val="nil"/>
                <w:right w:val="nil"/>
                <w:between w:val="nil"/>
              </w:pBdr>
              <w:spacing w:line="240" w:lineRule="auto"/>
              <w:rPr>
                <w:rFonts w:ascii="Arial" w:eastAsia="Arial" w:hAnsi="Arial" w:cs="Arial"/>
                <w:i/>
                <w:iCs/>
                <w:color w:val="FF0000"/>
              </w:rPr>
            </w:pPr>
          </w:p>
          <w:p w14:paraId="7A00C3CB" w14:textId="4AA888F8" w:rsidR="00312B5F" w:rsidRDefault="00312B5F">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more than one Program Lender, state how they will be selected/approved0</w:t>
            </w:r>
          </w:p>
          <w:p w14:paraId="5E240EA7" w14:textId="77777777" w:rsidR="00B70697" w:rsidRDefault="00B70697">
            <w:pPr>
              <w:pBdr>
                <w:top w:val="nil"/>
                <w:left w:val="nil"/>
                <w:bottom w:val="nil"/>
                <w:right w:val="nil"/>
                <w:between w:val="nil"/>
              </w:pBdr>
              <w:spacing w:line="240" w:lineRule="auto"/>
              <w:rPr>
                <w:rFonts w:ascii="Arial" w:eastAsia="Arial" w:hAnsi="Arial" w:cs="Arial"/>
                <w:color w:val="000000"/>
              </w:rPr>
            </w:pPr>
          </w:p>
          <w:p w14:paraId="15E3BB91" w14:textId="41A22A93"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 </w:t>
            </w:r>
          </w:p>
        </w:tc>
      </w:tr>
      <w:tr w:rsidR="00B70697" w14:paraId="194366DF" w14:textId="77777777">
        <w:tc>
          <w:tcPr>
            <w:tcW w:w="1755" w:type="dxa"/>
          </w:tcPr>
          <w:p w14:paraId="6CA24659"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Projects</w:t>
            </w:r>
          </w:p>
        </w:tc>
        <w:tc>
          <w:tcPr>
            <w:tcW w:w="8400" w:type="dxa"/>
          </w:tcPr>
          <w:p w14:paraId="2871C5E3" w14:textId="77777777" w:rsidR="00B70697" w:rsidRDefault="00312B5F">
            <w:pPr>
              <w:numPr>
                <w:ilvl w:val="0"/>
                <w:numId w:val="9"/>
              </w:numPr>
              <w:pBdr>
                <w:top w:val="nil"/>
                <w:left w:val="nil"/>
                <w:bottom w:val="nil"/>
                <w:right w:val="nil"/>
                <w:between w:val="nil"/>
              </w:pBdr>
              <w:spacing w:line="240" w:lineRule="auto"/>
            </w:pPr>
            <w:r>
              <w:rPr>
                <w:rFonts w:ascii="Arial" w:eastAsia="Arial" w:hAnsi="Arial" w:cs="Arial"/>
                <w:color w:val="000000"/>
              </w:rPr>
              <w:t xml:space="preserve">Upgrades or retrofits recommended in a qualifying </w:t>
            </w:r>
            <w:r>
              <w:rPr>
                <w:rFonts w:ascii="Arial" w:eastAsia="Arial" w:hAnsi="Arial" w:cs="Arial"/>
              </w:rPr>
              <w:t>e</w:t>
            </w:r>
            <w:r>
              <w:rPr>
                <w:rFonts w:ascii="Arial" w:eastAsia="Arial" w:hAnsi="Arial" w:cs="Arial"/>
                <w:color w:val="000000"/>
              </w:rPr>
              <w:t xml:space="preserve">nergy </w:t>
            </w:r>
            <w:r>
              <w:rPr>
                <w:rFonts w:ascii="Arial" w:eastAsia="Arial" w:hAnsi="Arial" w:cs="Arial"/>
              </w:rPr>
              <w:t>a</w:t>
            </w:r>
            <w:r>
              <w:rPr>
                <w:rFonts w:ascii="Arial" w:eastAsia="Arial" w:hAnsi="Arial" w:cs="Arial"/>
                <w:color w:val="000000"/>
              </w:rPr>
              <w:t xml:space="preserve">udit completed for a </w:t>
            </w:r>
            <w:r>
              <w:rPr>
                <w:rFonts w:ascii="Arial" w:eastAsia="Arial" w:hAnsi="Arial" w:cs="Arial"/>
                <w:color w:val="FF0000"/>
              </w:rPr>
              <w:t>[</w:t>
            </w:r>
            <w:r>
              <w:rPr>
                <w:rFonts w:ascii="Arial" w:eastAsia="Arial" w:hAnsi="Arial" w:cs="Arial"/>
                <w:color w:val="FF0000"/>
              </w:rPr>
              <w:t xml:space="preserve">public- or privately-owned commercial building/structure][single-family residential home, condominium, duplex, or manufactured housing unit][multifamily housing </w:t>
            </w:r>
            <w:r>
              <w:rPr>
                <w:rFonts w:ascii="Arial" w:eastAsia="Arial" w:hAnsi="Arial" w:cs="Arial"/>
                <w:color w:val="FF0000"/>
              </w:rPr>
              <w:t>units</w:t>
            </w:r>
            <w:r>
              <w:rPr>
                <w:rFonts w:ascii="Arial" w:eastAsia="Arial" w:hAnsi="Arial" w:cs="Arial"/>
                <w:color w:val="FF0000"/>
              </w:rPr>
              <w:t>]</w:t>
            </w:r>
            <w:r>
              <w:rPr>
                <w:rFonts w:ascii="Arial" w:eastAsia="Arial" w:hAnsi="Arial" w:cs="Arial"/>
                <w:color w:val="000000"/>
              </w:rPr>
              <w:t xml:space="preserve"> located in </w:t>
            </w:r>
            <w:r>
              <w:rPr>
                <w:rFonts w:ascii="Arial" w:eastAsia="Arial" w:hAnsi="Arial" w:cs="Arial"/>
                <w:color w:val="FF0000"/>
              </w:rPr>
              <w:t>[State]</w:t>
            </w:r>
            <w:r>
              <w:rPr>
                <w:rFonts w:ascii="Arial" w:eastAsia="Arial" w:hAnsi="Arial" w:cs="Arial"/>
                <w:color w:val="000000"/>
              </w:rPr>
              <w:t xml:space="preserve">. </w:t>
            </w:r>
          </w:p>
          <w:p w14:paraId="2FC14B31" w14:textId="77777777" w:rsidR="00B70697" w:rsidRDefault="00312B5F">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project’s cost must be life-cycle cost-effective, which shall be demonstrated on the energy audit report showing that the estimated lifetime energy savings from the project upgrades/retrofits will be at least equal to the total project cost.  Program Sponsor shall reserve the right to approve an alternative method of demonstrating cost-effectiveness if deemed acceptable. </w:t>
            </w:r>
          </w:p>
          <w:p w14:paraId="256E5358" w14:textId="77777777" w:rsidR="00B70697" w:rsidRDefault="00312B5F">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The project must address at least one of the following:</w:t>
            </w:r>
          </w:p>
          <w:p w14:paraId="148027D2" w14:textId="77777777" w:rsidR="00B70697" w:rsidRDefault="00312B5F">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energy efficiency of the building/facility; </w:t>
            </w:r>
          </w:p>
          <w:p w14:paraId="13845665" w14:textId="77777777" w:rsidR="00B70697" w:rsidRDefault="00312B5F">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physical comfort of the building/facility occupants; or </w:t>
            </w:r>
          </w:p>
          <w:p w14:paraId="56F30F85" w14:textId="77777777" w:rsidR="00B70697" w:rsidRDefault="00312B5F">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quality of the air in the building/facility. </w:t>
            </w:r>
          </w:p>
          <w:p w14:paraId="45A74F50" w14:textId="77777777" w:rsidR="00B70697" w:rsidRDefault="00312B5F">
            <w:pPr>
              <w:numPr>
                <w:ilvl w:val="1"/>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NOTE: Based on the criteria above, geothermal heating systems are eligible, but solar/PV systems would need to be paired with energy storage or designed to provide operation during utility electricity grid outage to be eligible. </w:t>
            </w:r>
          </w:p>
          <w:p w14:paraId="3E9A7C6A" w14:textId="77777777" w:rsidR="00B70697" w:rsidRDefault="00312B5F">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 must lead to at least one of the following outcomes: </w:t>
            </w:r>
          </w:p>
          <w:p w14:paraId="47A3CBDE" w14:textId="77777777" w:rsidR="00B70697" w:rsidRDefault="00312B5F">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reduce the energy intensity of the building/facility; or </w:t>
            </w:r>
          </w:p>
          <w:p w14:paraId="71D0E9EC" w14:textId="77777777" w:rsidR="00B70697" w:rsidRDefault="00312B5F">
            <w:pPr>
              <w:numPr>
                <w:ilvl w:val="1"/>
                <w:numId w:val="2"/>
              </w:numPr>
              <w:pBdr>
                <w:top w:val="nil"/>
                <w:left w:val="nil"/>
                <w:bottom w:val="nil"/>
                <w:right w:val="nil"/>
                <w:between w:val="nil"/>
              </w:pBdr>
              <w:spacing w:line="240" w:lineRule="auto"/>
              <w:ind w:left="720"/>
              <w:rPr>
                <w:rFonts w:ascii="Arial" w:eastAsia="Arial" w:hAnsi="Arial" w:cs="Arial"/>
                <w:color w:val="000000"/>
              </w:rPr>
            </w:pPr>
            <w:r>
              <w:rPr>
                <w:rFonts w:ascii="Arial" w:eastAsia="Arial" w:hAnsi="Arial" w:cs="Arial"/>
                <w:color w:val="000000"/>
              </w:rPr>
              <w:t>improve the control and management of energy usage of the building/facility to reduce demand during peak times.</w:t>
            </w:r>
          </w:p>
          <w:p w14:paraId="76AB009C" w14:textId="77777777" w:rsidR="00B70697" w:rsidRDefault="00312B5F">
            <w:pPr>
              <w:numPr>
                <w:ilvl w:val="0"/>
                <w:numId w:val="2"/>
              </w:numPr>
              <w:pBdr>
                <w:top w:val="nil"/>
                <w:left w:val="nil"/>
                <w:bottom w:val="nil"/>
                <w:right w:val="nil"/>
                <w:between w:val="nil"/>
              </w:pBdr>
              <w:spacing w:line="240" w:lineRule="auto"/>
            </w:pPr>
            <w:r>
              <w:rPr>
                <w:rFonts w:ascii="Arial" w:eastAsia="Arial" w:hAnsi="Arial" w:cs="Arial"/>
                <w:color w:val="000000"/>
              </w:rPr>
              <w:lastRenderedPageBreak/>
              <w:t>Loans may include any portion of the cost of Energy Audit paid for by the Eligible Borrower (not subsidized by Program Sponsor)</w:t>
            </w:r>
          </w:p>
        </w:tc>
      </w:tr>
      <w:tr w:rsidR="00B70697" w14:paraId="46479169" w14:textId="77777777">
        <w:tc>
          <w:tcPr>
            <w:tcW w:w="1755" w:type="dxa"/>
          </w:tcPr>
          <w:p w14:paraId="49CE38C7"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Energy Audit Requirements</w:t>
            </w:r>
          </w:p>
        </w:tc>
        <w:tc>
          <w:tcPr>
            <w:tcW w:w="8400" w:type="dxa"/>
          </w:tcPr>
          <w:p w14:paraId="0764F3E0"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[For commercial buildings:</w:t>
            </w:r>
          </w:p>
          <w:p w14:paraId="46EC9A16" w14:textId="77777777" w:rsidR="00B70697" w:rsidRDefault="00312B5F">
            <w:pPr>
              <w:numPr>
                <w:ilvl w:val="0"/>
                <w:numId w:val="10"/>
              </w:numPr>
              <w:pBdr>
                <w:top w:val="nil"/>
                <w:left w:val="nil"/>
                <w:bottom w:val="nil"/>
                <w:right w:val="nil"/>
                <w:between w:val="nil"/>
              </w:pBdr>
              <w:spacing w:line="259" w:lineRule="auto"/>
              <w:ind w:firstLine="360"/>
              <w:rPr>
                <w:rFonts w:ascii="Arial" w:eastAsia="Arial" w:hAnsi="Arial" w:cs="Arial"/>
                <w:color w:val="000000"/>
              </w:rPr>
            </w:pPr>
            <w:r>
              <w:rPr>
                <w:rFonts w:ascii="Arial" w:eastAsia="Arial" w:hAnsi="Arial" w:cs="Arial"/>
                <w:color w:val="000000"/>
              </w:rPr>
              <w:t xml:space="preserve">Determine the overall consumption of energy of the facility of the eligible recipient.  </w:t>
            </w:r>
          </w:p>
          <w:p w14:paraId="7DE0234B" w14:textId="77777777" w:rsidR="00B70697" w:rsidRDefault="00312B5F">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Identify and recommend lifecycle cost-effective opportunities to reduce the energy consumption of the facility of the eligible recipient.  </w:t>
            </w:r>
          </w:p>
          <w:p w14:paraId="1AB6E444" w14:textId="77777777" w:rsidR="00B70697" w:rsidRDefault="00312B5F">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Identify the period and level of peak energy demand for each building within the facility of the eligible recipient and the sources of energy consumption that are contributing the most to that period of peak energy demand.  </w:t>
            </w:r>
          </w:p>
          <w:p w14:paraId="755FCD75" w14:textId="77777777" w:rsidR="00B70697" w:rsidRDefault="00312B5F">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Recommend controls and management systems to reduce or redistribute peak energy consumption.  </w:t>
            </w:r>
          </w:p>
          <w:p w14:paraId="7759E9A7" w14:textId="77777777" w:rsidR="00B70697" w:rsidRDefault="00312B5F">
            <w:pPr>
              <w:numPr>
                <w:ilvl w:val="0"/>
                <w:numId w:val="10"/>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Estimate the total energy and cost savings potential for the facility of the eligible recipient if all recommended upgrades and retrofits are implemented, using </w:t>
            </w:r>
            <w:hyperlink r:id="rId9">
              <w:r>
                <w:rPr>
                  <w:rFonts w:ascii="Arial" w:eastAsia="Arial" w:hAnsi="Arial" w:cs="Arial"/>
                  <w:color w:val="1155CC"/>
                  <w:u w:val="single"/>
                </w:rPr>
                <w:t>Audit Template</w:t>
              </w:r>
            </w:hyperlink>
            <w:r>
              <w:rPr>
                <w:rFonts w:ascii="Arial" w:eastAsia="Arial" w:hAnsi="Arial" w:cs="Arial"/>
                <w:color w:val="000000"/>
              </w:rPr>
              <w:t>, or such other audit software approved by DOE which complies with the BuildingSync data format.</w:t>
            </w:r>
          </w:p>
          <w:p w14:paraId="4F659817" w14:textId="77777777" w:rsidR="00B70697" w:rsidRDefault="00B70697">
            <w:pPr>
              <w:pBdr>
                <w:top w:val="nil"/>
                <w:left w:val="nil"/>
                <w:bottom w:val="nil"/>
                <w:right w:val="nil"/>
                <w:between w:val="nil"/>
              </w:pBdr>
              <w:spacing w:line="240" w:lineRule="auto"/>
              <w:rPr>
                <w:rFonts w:ascii="Arial" w:eastAsia="Arial" w:hAnsi="Arial" w:cs="Arial"/>
                <w:color w:val="000000"/>
              </w:rPr>
            </w:pPr>
          </w:p>
          <w:p w14:paraId="07887DE7"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 xml:space="preserve">[For single-family residential </w:t>
            </w:r>
            <w:r>
              <w:rPr>
                <w:rFonts w:ascii="Arial" w:eastAsia="Arial" w:hAnsi="Arial" w:cs="Arial"/>
                <w:color w:val="FF0000"/>
              </w:rPr>
              <w:t>dwellings</w:t>
            </w:r>
            <w:r>
              <w:rPr>
                <w:rFonts w:ascii="Arial" w:eastAsia="Arial" w:hAnsi="Arial" w:cs="Arial"/>
                <w:color w:val="FF0000"/>
              </w:rPr>
              <w:t>:</w:t>
            </w:r>
          </w:p>
          <w:p w14:paraId="1A52CEB4" w14:textId="77777777" w:rsidR="00B70697" w:rsidRDefault="00312B5F">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0">
              <w:r>
                <w:rPr>
                  <w:rFonts w:ascii="Arial" w:eastAsia="Arial" w:hAnsi="Arial" w:cs="Arial"/>
                  <w:color w:val="1155CC"/>
                  <w:u w:val="single"/>
                </w:rPr>
                <w:t>Home Performance Assessment</w:t>
              </w:r>
            </w:hyperlink>
            <w:r>
              <w:rPr>
                <w:rFonts w:ascii="Arial" w:eastAsia="Arial" w:hAnsi="Arial" w:cs="Arial"/>
              </w:rPr>
              <w:t xml:space="preserve"> used in the Energy Star program</w:t>
            </w:r>
            <w:r>
              <w:rPr>
                <w:rFonts w:ascii="Arial" w:eastAsia="Arial" w:hAnsi="Arial" w:cs="Arial"/>
                <w:vertAlign w:val="superscript"/>
              </w:rPr>
              <w:footnoteReference w:id="1"/>
            </w:r>
            <w:r>
              <w:rPr>
                <w:rFonts w:ascii="Arial" w:eastAsia="Arial" w:hAnsi="Arial" w:cs="Arial"/>
              </w:rPr>
              <w:t xml:space="preserve">. </w:t>
            </w:r>
          </w:p>
          <w:p w14:paraId="75D08350" w14:textId="77777777" w:rsidR="00B70697" w:rsidRDefault="00312B5F">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5B4A8F8B" w14:textId="77777777" w:rsidR="00B70697" w:rsidRDefault="00312B5F">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5671AE85" w14:textId="77777777" w:rsidR="00B70697" w:rsidRDefault="00312B5F">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62411B27"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5) Provide a </w:t>
            </w:r>
            <w:hyperlink r:id="rId11">
              <w:r>
                <w:rPr>
                  <w:rFonts w:ascii="Arial" w:eastAsia="Arial" w:hAnsi="Arial" w:cs="Arial"/>
                  <w:color w:val="1155CC"/>
                  <w:u w:val="single"/>
                </w:rPr>
                <w:t>Home Energy Score</w:t>
              </w:r>
            </w:hyperlink>
            <w:r>
              <w:rPr>
                <w:rFonts w:ascii="Arial" w:eastAsia="Arial" w:hAnsi="Arial" w:cs="Arial"/>
                <w:color w:val="000000"/>
              </w:rPr>
              <w:t>, or equivalent score (as determined by the Secretary), for the residential building of the eligible recipient by using DOE’s Home Energy Score Tool or an equivalent scoring tool.</w:t>
            </w:r>
          </w:p>
          <w:p w14:paraId="76BB8427" w14:textId="77777777" w:rsidR="00B70697" w:rsidRDefault="00312B5F">
            <w:pPr>
              <w:spacing w:after="82" w:line="257" w:lineRule="auto"/>
              <w:rPr>
                <w:rFonts w:ascii="Arial" w:eastAsia="Arial" w:hAnsi="Arial" w:cs="Arial"/>
              </w:rPr>
            </w:pPr>
            <w:r>
              <w:rPr>
                <w:rFonts w:ascii="Arial" w:eastAsia="Arial" w:hAnsi="Arial" w:cs="Arial"/>
              </w:rPr>
              <w:t xml:space="preserve">Note: The Home Energy Score (HES) tool fully satisfies requirements #4 and #5 but does not fully satisfy requirements #1-3. To meet these requirements DOE recommends states have auditors use HES and supplement the HES report with: </w:t>
            </w:r>
          </w:p>
          <w:p w14:paraId="12C9B5F8" w14:textId="77777777" w:rsidR="00B70697" w:rsidRDefault="00312B5F">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a statement certifying that the audit is informed by 1) resolving health and safety issues; 2) satisfying customer needs and desires; 3) overall cost-benefit to the customer; and 4) programmatic goals. </w:t>
            </w:r>
          </w:p>
          <w:p w14:paraId="5F56B0DA" w14:textId="77777777" w:rsidR="00B70697" w:rsidRDefault="00312B5F">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Calculations of the life-cycle cost effectiveness of the measures recommended in the HES report (See Question 12, SectionC)</w:t>
            </w:r>
          </w:p>
          <w:p w14:paraId="1BCB7928" w14:textId="77777777" w:rsidR="00B70697" w:rsidRDefault="00312B5F">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Recommendation of controls and management systems to reduce or redistribute peak energy consumption. This may include, but is not limited to, recommending smart thermostats, appliances with timers, and wifi water heaters.</w:t>
            </w:r>
          </w:p>
          <w:p w14:paraId="67F3C4D4" w14:textId="77777777" w:rsidR="00B70697" w:rsidRDefault="00B70697">
            <w:pPr>
              <w:spacing w:line="257" w:lineRule="auto"/>
              <w:rPr>
                <w:rFonts w:ascii="Arial" w:eastAsia="Arial" w:hAnsi="Arial" w:cs="Arial"/>
              </w:rPr>
            </w:pPr>
          </w:p>
          <w:p w14:paraId="0DD2D5EE" w14:textId="77777777" w:rsidR="00B70697" w:rsidRDefault="00312B5F">
            <w:pPr>
              <w:spacing w:line="257" w:lineRule="auto"/>
              <w:rPr>
                <w:rFonts w:ascii="Arial" w:eastAsia="Arial" w:hAnsi="Arial" w:cs="Arial"/>
                <w:color w:val="FF0000"/>
              </w:rPr>
            </w:pPr>
            <w:r>
              <w:rPr>
                <w:rFonts w:ascii="Arial" w:eastAsia="Arial" w:hAnsi="Arial" w:cs="Arial"/>
                <w:color w:val="FF0000"/>
              </w:rPr>
              <w:lastRenderedPageBreak/>
              <w:t>[For multifamily housing units:</w:t>
            </w:r>
          </w:p>
          <w:p w14:paraId="6C65C7ED" w14:textId="77777777" w:rsidR="00B70697" w:rsidRDefault="00312B5F">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2">
              <w:r>
                <w:rPr>
                  <w:rFonts w:ascii="Arial" w:eastAsia="Arial" w:hAnsi="Arial" w:cs="Arial"/>
                  <w:color w:val="1155CC"/>
                  <w:u w:val="single"/>
                </w:rPr>
                <w:t>Home Performance Assessment</w:t>
              </w:r>
            </w:hyperlink>
            <w:r>
              <w:rPr>
                <w:rFonts w:ascii="Arial" w:eastAsia="Arial" w:hAnsi="Arial" w:cs="Arial"/>
              </w:rPr>
              <w:t xml:space="preserve"> used in the Energy Star program. </w:t>
            </w:r>
          </w:p>
          <w:p w14:paraId="17B3BF58" w14:textId="77777777" w:rsidR="00B70697" w:rsidRDefault="00312B5F">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65C04A57" w14:textId="77777777" w:rsidR="00B70697" w:rsidRDefault="00312B5F">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1CF0CE5D" w14:textId="77777777" w:rsidR="00B70697" w:rsidRDefault="00312B5F">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5D2988B2"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5) Provide a </w:t>
            </w:r>
            <w:hyperlink r:id="rId13">
              <w:r>
                <w:rPr>
                  <w:rFonts w:ascii="Arial" w:eastAsia="Arial" w:hAnsi="Arial" w:cs="Arial"/>
                  <w:color w:val="1155CC"/>
                  <w:u w:val="single"/>
                </w:rPr>
                <w:t>Home Energy Score</w:t>
              </w:r>
            </w:hyperlink>
            <w:r>
              <w:rPr>
                <w:rFonts w:ascii="Arial" w:eastAsia="Arial" w:hAnsi="Arial" w:cs="Arial"/>
                <w:color w:val="000000"/>
              </w:rPr>
              <w:t>, or equivalent score (as determined by the Secretary), for the residential building of the eligible recipient by using DOE’s Home Energy Score Tool or an equivalent scoring tool.</w:t>
            </w:r>
          </w:p>
          <w:p w14:paraId="1D6DF65F" w14:textId="77777777" w:rsidR="00B70697" w:rsidRDefault="00312B5F">
            <w:pPr>
              <w:spacing w:line="253" w:lineRule="auto"/>
              <w:rPr>
                <w:rFonts w:ascii="Arial" w:eastAsia="Arial" w:hAnsi="Arial" w:cs="Arial"/>
              </w:rPr>
            </w:pPr>
            <w:r>
              <w:rPr>
                <w:rFonts w:ascii="Arial" w:eastAsia="Arial" w:hAnsi="Arial" w:cs="Arial"/>
              </w:rPr>
              <w:t>Note1: The Audit Template tool fully satisfies requirements #1-3 and #5 but does not fully satisfy requirement #4. To meet this, DOE recommends states have auditors supplement the Audit Template report with the comparison output of th</w:t>
            </w:r>
            <w:hyperlink r:id="rId14">
              <w:r>
                <w:rPr>
                  <w:rFonts w:ascii="Arial" w:eastAsia="Arial" w:hAnsi="Arial" w:cs="Arial"/>
                </w:rPr>
                <w:t xml:space="preserve">e </w:t>
              </w:r>
            </w:hyperlink>
            <w:hyperlink r:id="rId15">
              <w:r>
                <w:rPr>
                  <w:rFonts w:ascii="Arial" w:eastAsia="Arial" w:hAnsi="Arial" w:cs="Arial"/>
                  <w:color w:val="1155CC"/>
                  <w:u w:val="single"/>
                </w:rPr>
                <w:t>Energy Star</w:t>
              </w:r>
            </w:hyperlink>
            <w:hyperlink r:id="rId16">
              <w:r>
                <w:rPr>
                  <w:rFonts w:ascii="Arial" w:eastAsia="Arial" w:hAnsi="Arial" w:cs="Arial"/>
                  <w:color w:val="008080"/>
                  <w:u w:val="single"/>
                </w:rPr>
                <w:t xml:space="preserve"> </w:t>
              </w:r>
            </w:hyperlink>
            <w:hyperlink r:id="rId17">
              <w:r>
                <w:rPr>
                  <w:rFonts w:ascii="Arial" w:eastAsia="Arial" w:hAnsi="Arial" w:cs="Arial"/>
                  <w:color w:val="1155CC"/>
                  <w:u w:val="single"/>
                </w:rPr>
                <w:t>Portfolio Manager platform</w:t>
              </w:r>
            </w:hyperlink>
            <w:hyperlink r:id="rId18">
              <w:r>
                <w:rPr>
                  <w:rFonts w:ascii="Arial" w:eastAsia="Arial" w:hAnsi="Arial" w:cs="Arial"/>
                </w:rPr>
                <w:t xml:space="preserve"> w</w:t>
              </w:r>
            </w:hyperlink>
            <w:r>
              <w:rPr>
                <w:rFonts w:ascii="Arial" w:eastAsia="Arial" w:hAnsi="Arial" w:cs="Arial"/>
              </w:rPr>
              <w:t xml:space="preserve">hich compares multifamily buildings to comparable multifamily buildings nationally.  </w:t>
            </w:r>
          </w:p>
          <w:p w14:paraId="1E916EF5" w14:textId="77777777" w:rsidR="00B70697" w:rsidRDefault="00312B5F">
            <w:pPr>
              <w:spacing w:after="54" w:line="259" w:lineRule="auto"/>
              <w:rPr>
                <w:rFonts w:ascii="Arial" w:eastAsia="Arial" w:hAnsi="Arial" w:cs="Arial"/>
              </w:rPr>
            </w:pPr>
            <w:r>
              <w:rPr>
                <w:rFonts w:ascii="Arial" w:eastAsia="Arial" w:hAnsi="Arial" w:cs="Arial"/>
              </w:rPr>
              <w:t>Note2: Regarding requirement #5: DOE considers the “Annual Energy &amp; Costs Savings" and "Payback with Incentives" outputs summary in Audit Template an equivalent score to the Home Energy Score.</w:t>
            </w:r>
          </w:p>
          <w:p w14:paraId="4C5A7BAE" w14:textId="77777777" w:rsidR="00B70697" w:rsidRDefault="00312B5F">
            <w:pPr>
              <w:spacing w:after="54" w:line="259" w:lineRule="auto"/>
              <w:rPr>
                <w:rFonts w:ascii="Arial" w:eastAsia="Arial" w:hAnsi="Arial" w:cs="Arial"/>
              </w:rPr>
            </w:pPr>
            <w:r>
              <w:rPr>
                <w:rFonts w:ascii="Arial" w:eastAsia="Arial" w:hAnsi="Arial" w:cs="Arial"/>
              </w:rPr>
              <w:t>Note3: Audit Template may only be used for multifamily housing buildings that are 4+ stories/floors.</w:t>
            </w:r>
          </w:p>
        </w:tc>
      </w:tr>
      <w:tr w:rsidR="00B70697" w14:paraId="5509BE8D" w14:textId="77777777">
        <w:tc>
          <w:tcPr>
            <w:tcW w:w="1755" w:type="dxa"/>
          </w:tcPr>
          <w:p w14:paraId="42A242C2"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Eligible Borrower</w:t>
            </w:r>
          </w:p>
        </w:tc>
        <w:tc>
          <w:tcPr>
            <w:tcW w:w="8400" w:type="dxa"/>
          </w:tcPr>
          <w:p w14:paraId="65E7EF9B" w14:textId="77777777" w:rsidR="00B70697" w:rsidRDefault="00312B5F">
            <w:pPr>
              <w:pBdr>
                <w:top w:val="nil"/>
                <w:left w:val="nil"/>
                <w:bottom w:val="nil"/>
                <w:right w:val="nil"/>
                <w:between w:val="nil"/>
              </w:pBdr>
              <w:spacing w:line="240" w:lineRule="auto"/>
              <w:rPr>
                <w:rFonts w:ascii="Arial" w:eastAsia="Arial" w:hAnsi="Arial" w:cs="Arial"/>
                <w:i/>
                <w:iCs/>
                <w:color w:val="FF0000"/>
                <w:u w:val="single"/>
              </w:rPr>
            </w:pPr>
            <w:r>
              <w:rPr>
                <w:rFonts w:ascii="Arial" w:eastAsia="Arial" w:hAnsi="Arial" w:cs="Arial"/>
                <w:i/>
                <w:iCs/>
                <w:color w:val="FF0000"/>
              </w:rPr>
              <w:t>(Modify if necessary, based on target market(s</w:t>
            </w:r>
            <w:r>
              <w:rPr>
                <w:rFonts w:ascii="Arial" w:eastAsia="Arial" w:hAnsi="Arial" w:cs="Arial"/>
                <w:i/>
                <w:iCs/>
                <w:color w:val="FF0000"/>
                <w:u w:val="single"/>
              </w:rPr>
              <w:t>))</w:t>
            </w:r>
          </w:p>
          <w:p w14:paraId="0DDFF311"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t>Commercial Buildings</w:t>
            </w:r>
            <w:r>
              <w:rPr>
                <w:rFonts w:ascii="Arial" w:eastAsia="Arial" w:hAnsi="Arial" w:cs="Arial"/>
                <w:color w:val="FF0000"/>
              </w:rPr>
              <w:t>:</w:t>
            </w:r>
          </w:p>
          <w:p w14:paraId="637C79E9"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A business or organization that owns or operates a commercial building/structure (includes publicly and privately owned buildings).  If the borrower is a business, they must satisfy both of the following: </w:t>
            </w:r>
          </w:p>
          <w:p w14:paraId="395DDC53" w14:textId="77777777" w:rsidR="00B70697" w:rsidRDefault="00312B5F">
            <w:pPr>
              <w:numPr>
                <w:ilvl w:val="0"/>
                <w:numId w:val="2"/>
              </w:numPr>
              <w:pBdr>
                <w:top w:val="nil"/>
                <w:left w:val="nil"/>
                <w:bottom w:val="nil"/>
                <w:right w:val="nil"/>
                <w:between w:val="nil"/>
              </w:pBdr>
              <w:spacing w:line="240" w:lineRule="auto"/>
            </w:pPr>
            <w:r>
              <w:rPr>
                <w:rFonts w:ascii="Arial" w:eastAsia="Arial" w:hAnsi="Arial" w:cs="Arial"/>
                <w:color w:val="000000"/>
              </w:rPr>
              <w:t xml:space="preserve">Conducts a majority of its business in the </w:t>
            </w:r>
            <w:r>
              <w:rPr>
                <w:rFonts w:ascii="Arial" w:eastAsia="Arial" w:hAnsi="Arial" w:cs="Arial"/>
                <w:color w:val="FF0000"/>
              </w:rPr>
              <w:t>[State]</w:t>
            </w:r>
            <w:r>
              <w:rPr>
                <w:rFonts w:ascii="Arial" w:eastAsia="Arial" w:hAnsi="Arial" w:cs="Arial"/>
                <w:color w:val="000000"/>
              </w:rPr>
              <w:t xml:space="preserve">. </w:t>
            </w:r>
          </w:p>
          <w:p w14:paraId="60DA3F95" w14:textId="77777777" w:rsidR="00B70697" w:rsidRDefault="00312B5F">
            <w:pPr>
              <w:numPr>
                <w:ilvl w:val="0"/>
                <w:numId w:val="2"/>
              </w:numPr>
              <w:pBdr>
                <w:top w:val="nil"/>
                <w:left w:val="nil"/>
                <w:bottom w:val="nil"/>
                <w:right w:val="nil"/>
                <w:between w:val="nil"/>
              </w:pBdr>
              <w:spacing w:line="240" w:lineRule="auto"/>
            </w:pPr>
            <w:r>
              <w:rPr>
                <w:rFonts w:ascii="Arial" w:eastAsia="Arial" w:hAnsi="Arial" w:cs="Arial"/>
                <w:color w:val="000000"/>
              </w:rPr>
              <w:t xml:space="preserve">Owns or operates one or more commercial buildings or commercial space within a building. </w:t>
            </w:r>
          </w:p>
          <w:p w14:paraId="2FC61265"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t>Single-family Re</w:t>
            </w:r>
            <w:r>
              <w:rPr>
                <w:rFonts w:ascii="Arial" w:eastAsia="Arial" w:hAnsi="Arial" w:cs="Arial"/>
                <w:color w:val="FF0000"/>
                <w:u w:val="single"/>
              </w:rPr>
              <w:t>sidential D</w:t>
            </w:r>
            <w:r>
              <w:rPr>
                <w:rFonts w:ascii="Arial" w:eastAsia="Arial" w:hAnsi="Arial" w:cs="Arial"/>
                <w:color w:val="FF0000"/>
                <w:u w:val="single"/>
              </w:rPr>
              <w:t>wellings</w:t>
            </w:r>
            <w:r>
              <w:rPr>
                <w:rFonts w:ascii="Arial" w:eastAsia="Arial" w:hAnsi="Arial" w:cs="Arial"/>
                <w:color w:val="FF0000"/>
              </w:rPr>
              <w:t>:</w:t>
            </w:r>
          </w:p>
          <w:p w14:paraId="5CBC694F" w14:textId="77777777" w:rsidR="00B70697" w:rsidRDefault="00312B5F">
            <w:pPr>
              <w:numPr>
                <w:ilvl w:val="0"/>
                <w:numId w:val="8"/>
              </w:numPr>
              <w:pBdr>
                <w:top w:val="nil"/>
                <w:left w:val="nil"/>
                <w:bottom w:val="nil"/>
                <w:right w:val="nil"/>
                <w:between w:val="nil"/>
              </w:pBdr>
              <w:spacing w:line="240" w:lineRule="auto"/>
              <w:ind w:left="360"/>
            </w:pPr>
            <w:r>
              <w:rPr>
                <w:rFonts w:ascii="Arial" w:eastAsia="Arial" w:hAnsi="Arial" w:cs="Arial"/>
                <w:color w:val="000000"/>
              </w:rPr>
              <w:t xml:space="preserve">An individual who owns one of the following: </w:t>
            </w:r>
          </w:p>
          <w:p w14:paraId="4320D384" w14:textId="77777777" w:rsidR="00B70697" w:rsidRDefault="00312B5F">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single-family home. </w:t>
            </w:r>
          </w:p>
          <w:p w14:paraId="5D5F444C" w14:textId="77777777" w:rsidR="00B70697" w:rsidRDefault="00312B5F">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condominium or duplex. </w:t>
            </w:r>
          </w:p>
          <w:p w14:paraId="2ACBED2E" w14:textId="77777777" w:rsidR="00B70697" w:rsidRDefault="00312B5F">
            <w:pPr>
              <w:numPr>
                <w:ilvl w:val="1"/>
                <w:numId w:val="2"/>
              </w:numPr>
              <w:pBdr>
                <w:top w:val="nil"/>
                <w:left w:val="nil"/>
                <w:bottom w:val="nil"/>
                <w:right w:val="nil"/>
                <w:between w:val="nil"/>
              </w:pBdr>
              <w:spacing w:line="240" w:lineRule="auto"/>
              <w:ind w:left="720"/>
            </w:pPr>
            <w:r>
              <w:rPr>
                <w:rFonts w:ascii="Arial" w:eastAsia="Arial" w:hAnsi="Arial" w:cs="Arial"/>
                <w:color w:val="000000"/>
              </w:rPr>
              <w:t xml:space="preserve">A manufactured housing unit. </w:t>
            </w:r>
          </w:p>
          <w:p w14:paraId="6C56C1D2" w14:textId="77777777" w:rsidR="00B70697" w:rsidRDefault="00312B5F">
            <w:pPr>
              <w:numPr>
                <w:ilvl w:val="0"/>
                <w:numId w:val="8"/>
              </w:numPr>
              <w:pBdr>
                <w:top w:val="nil"/>
                <w:left w:val="nil"/>
                <w:bottom w:val="nil"/>
                <w:right w:val="nil"/>
                <w:between w:val="nil"/>
              </w:pBdr>
              <w:spacing w:line="240" w:lineRule="auto"/>
              <w:ind w:left="360"/>
            </w:pPr>
            <w:r>
              <w:rPr>
                <w:rFonts w:ascii="Arial" w:eastAsia="Arial" w:hAnsi="Arial" w:cs="Arial"/>
                <w:color w:val="000000"/>
              </w:rPr>
              <w:t>A business that owns or operates a multifamily housing facility.</w:t>
            </w:r>
          </w:p>
          <w:p w14:paraId="57567366" w14:textId="77777777" w:rsidR="00B70697" w:rsidRDefault="00312B5F">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 xml:space="preserve">Multifamily Housing </w:t>
            </w:r>
            <w:r>
              <w:rPr>
                <w:rFonts w:ascii="Arial" w:eastAsia="Arial" w:hAnsi="Arial" w:cs="Arial"/>
                <w:color w:val="FF0000"/>
                <w:u w:val="single"/>
              </w:rPr>
              <w:t>Units</w:t>
            </w:r>
            <w:r>
              <w:rPr>
                <w:rFonts w:ascii="Arial" w:eastAsia="Arial" w:hAnsi="Arial" w:cs="Arial"/>
                <w:color w:val="FF0000"/>
                <w:u w:val="single"/>
              </w:rPr>
              <w:t>:</w:t>
            </w:r>
          </w:p>
          <w:p w14:paraId="2A95EF4A"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 borrower (includes business, public entity, non-profit, and individual) that owns or operates a multifamily housing facility.</w:t>
            </w:r>
          </w:p>
        </w:tc>
      </w:tr>
      <w:tr w:rsidR="00B70697" w14:paraId="666E2F4A" w14:textId="77777777">
        <w:tc>
          <w:tcPr>
            <w:tcW w:w="1755" w:type="dxa"/>
          </w:tcPr>
          <w:p w14:paraId="71E00ACD"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Energy Audit Subsidy Requirements</w:t>
            </w:r>
          </w:p>
          <w:p w14:paraId="3B0B43AC"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00" w:type="dxa"/>
          </w:tcPr>
          <w:p w14:paraId="3A2FF839"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(Modify if necessary based on target market(s))</w:t>
            </w:r>
          </w:p>
          <w:p w14:paraId="5D527B45" w14:textId="77777777" w:rsidR="00B70697" w:rsidRDefault="00312B5F">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Commercial:</w:t>
            </w:r>
          </w:p>
          <w:p w14:paraId="404FFABB"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An Eligible Borrower with fewer than 500 employees.</w:t>
            </w:r>
          </w:p>
          <w:p w14:paraId="5752AAA7" w14:textId="77777777" w:rsidR="00B70697" w:rsidRDefault="00312B5F">
            <w:pPr>
              <w:pBdr>
                <w:top w:val="nil"/>
                <w:left w:val="nil"/>
                <w:bottom w:val="nil"/>
                <w:right w:val="nil"/>
                <w:between w:val="nil"/>
              </w:pBdr>
              <w:spacing w:line="240" w:lineRule="auto"/>
              <w:rPr>
                <w:rFonts w:ascii="Arial" w:eastAsia="Arial" w:hAnsi="Arial" w:cs="Arial"/>
                <w:color w:val="FF0000"/>
                <w:u w:val="single"/>
              </w:rPr>
            </w:pPr>
            <w:r>
              <w:rPr>
                <w:rFonts w:ascii="Arial" w:eastAsia="Arial" w:hAnsi="Arial" w:cs="Arial"/>
                <w:color w:val="FF0000"/>
                <w:u w:val="single"/>
              </w:rPr>
              <w:t xml:space="preserve">Single-family residential: </w:t>
            </w:r>
          </w:p>
          <w:p w14:paraId="1969B6E4"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 low-income individual (as defined in paragraph 36 of 29 U.S.C. 3102) that owns a single family residential home.</w:t>
            </w:r>
          </w:p>
          <w:p w14:paraId="079A03BA" w14:textId="77777777"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u w:val="single"/>
              </w:rPr>
              <w:t>M</w:t>
            </w:r>
            <w:r>
              <w:rPr>
                <w:rFonts w:ascii="Arial" w:eastAsia="Arial" w:hAnsi="Arial" w:cs="Arial"/>
                <w:color w:val="FF0000"/>
                <w:u w:val="single"/>
              </w:rPr>
              <w:t xml:space="preserve">ultifamily Housing </w:t>
            </w:r>
            <w:r>
              <w:rPr>
                <w:rFonts w:ascii="Arial" w:eastAsia="Arial" w:hAnsi="Arial" w:cs="Arial"/>
                <w:color w:val="FF0000"/>
                <w:u w:val="single"/>
              </w:rPr>
              <w:t>Units</w:t>
            </w:r>
            <w:r>
              <w:rPr>
                <w:rFonts w:ascii="Arial" w:eastAsia="Arial" w:hAnsi="Arial" w:cs="Arial"/>
                <w:color w:val="FF0000"/>
                <w:u w:val="single"/>
              </w:rPr>
              <w:t>:</w:t>
            </w:r>
          </w:p>
          <w:p w14:paraId="3A8DA135" w14:textId="77777777" w:rsidR="00B70697" w:rsidRDefault="00312B5F">
            <w:pPr>
              <w:pBdr>
                <w:top w:val="nil"/>
                <w:left w:val="nil"/>
                <w:bottom w:val="nil"/>
                <w:right w:val="nil"/>
                <w:between w:val="nil"/>
              </w:pBdr>
              <w:spacing w:line="240" w:lineRule="auto"/>
              <w:rPr>
                <w:rFonts w:ascii="Arial" w:eastAsia="Arial" w:hAnsi="Arial" w:cs="Arial"/>
                <w:i/>
                <w:iCs/>
                <w:color w:val="000000"/>
              </w:rPr>
            </w:pPr>
            <w:r>
              <w:rPr>
                <w:rFonts w:ascii="Arial" w:eastAsia="Arial" w:hAnsi="Arial" w:cs="Arial"/>
                <w:color w:val="000000"/>
              </w:rPr>
              <w:t>A low-income individual (as defined in paragraph 36 of 29 U.S.C. 3102) that owns a multifamily housing facility.</w:t>
            </w:r>
          </w:p>
        </w:tc>
      </w:tr>
      <w:tr w:rsidR="00B70697" w14:paraId="5C685B27" w14:textId="77777777">
        <w:tc>
          <w:tcPr>
            <w:tcW w:w="1755" w:type="dxa"/>
          </w:tcPr>
          <w:p w14:paraId="2C191D33"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Minimum Loan Underwriting Criteria</w:t>
            </w:r>
          </w:p>
        </w:tc>
        <w:tc>
          <w:tcPr>
            <w:tcW w:w="8400" w:type="dxa"/>
          </w:tcPr>
          <w:p w14:paraId="5A81F5E8" w14:textId="552333B5"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As set by Program Lender</w:t>
            </w:r>
          </w:p>
          <w:p w14:paraId="46C3B0F4" w14:textId="77777777" w:rsidR="00B70697" w:rsidRDefault="00B70697">
            <w:pPr>
              <w:pBdr>
                <w:top w:val="nil"/>
                <w:left w:val="nil"/>
                <w:bottom w:val="nil"/>
                <w:right w:val="nil"/>
                <w:between w:val="nil"/>
              </w:pBdr>
              <w:spacing w:line="240" w:lineRule="auto"/>
              <w:rPr>
                <w:rFonts w:ascii="Arial" w:eastAsia="Arial" w:hAnsi="Arial" w:cs="Arial"/>
                <w:color w:val="000000"/>
              </w:rPr>
            </w:pPr>
          </w:p>
        </w:tc>
      </w:tr>
      <w:tr w:rsidR="00B70697" w14:paraId="4D0A87F6" w14:textId="77777777">
        <w:tc>
          <w:tcPr>
            <w:tcW w:w="1755" w:type="dxa"/>
          </w:tcPr>
          <w:p w14:paraId="2A7DD131"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Terms</w:t>
            </w:r>
          </w:p>
        </w:tc>
        <w:tc>
          <w:tcPr>
            <w:tcW w:w="8400" w:type="dxa"/>
          </w:tcPr>
          <w:p w14:paraId="37CF1F77"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Minimum Loan Amount: As set by Program Lender.</w:t>
            </w:r>
          </w:p>
          <w:p w14:paraId="1FF6E9D4"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Maximum Loan Amount: As set by Program Lender.</w:t>
            </w:r>
          </w:p>
          <w:p w14:paraId="5E753C6F"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Maximum Loan Term is the maximum expected useful life of the financed improvements, not to exceed 15 years.</w:t>
            </w:r>
          </w:p>
          <w:p w14:paraId="529C6708"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Program Sponsor will enter into a Participation Agreement with Program Lender to participate in 50% of each eligible loan.</w:t>
            </w:r>
          </w:p>
          <w:p w14:paraId="55298FA5"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Lender will set its normal and customary interest rate on its share of the loan based on the borrower and project. </w:t>
            </w:r>
          </w:p>
          <w:p w14:paraId="3678A2CE" w14:textId="77777777" w:rsidR="00B70697" w:rsidRDefault="00312B5F">
            <w:pPr>
              <w:numPr>
                <w:ilvl w:val="0"/>
                <w:numId w:val="6"/>
              </w:numPr>
              <w:pBdr>
                <w:top w:val="nil"/>
                <w:left w:val="nil"/>
                <w:bottom w:val="nil"/>
                <w:right w:val="nil"/>
                <w:between w:val="nil"/>
              </w:pBdr>
              <w:spacing w:line="240" w:lineRule="auto"/>
            </w:pPr>
            <w:r>
              <w:rPr>
                <w:rFonts w:ascii="Arial" w:eastAsia="Arial" w:hAnsi="Arial" w:cs="Arial"/>
                <w:color w:val="000000"/>
              </w:rPr>
              <w:t>Interest rate:  As set by Program Lender, and subject to any maximum interest rate as may be set by Program.</w:t>
            </w:r>
          </w:p>
        </w:tc>
      </w:tr>
      <w:tr w:rsidR="00B70697" w14:paraId="14A623E5" w14:textId="77777777">
        <w:tc>
          <w:tcPr>
            <w:tcW w:w="1755" w:type="dxa"/>
          </w:tcPr>
          <w:p w14:paraId="18519521"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FF0000"/>
              </w:rPr>
              <w:t xml:space="preserve">[Program Sponsor/ Program Administrator] </w:t>
            </w:r>
            <w:r>
              <w:rPr>
                <w:rFonts w:ascii="Arial" w:eastAsia="Arial" w:hAnsi="Arial" w:cs="Arial"/>
                <w:color w:val="000000"/>
              </w:rPr>
              <w:t>Responsibilities</w:t>
            </w:r>
          </w:p>
        </w:tc>
        <w:tc>
          <w:tcPr>
            <w:tcW w:w="8400" w:type="dxa"/>
          </w:tcPr>
          <w:p w14:paraId="0CD2E078" w14:textId="77777777" w:rsidR="00B70697" w:rsidRDefault="00312B5F">
            <w:pPr>
              <w:numPr>
                <w:ilvl w:val="0"/>
                <w:numId w:val="4"/>
              </w:numPr>
              <w:pBdr>
                <w:top w:val="nil"/>
                <w:left w:val="nil"/>
                <w:bottom w:val="nil"/>
                <w:right w:val="nil"/>
                <w:between w:val="nil"/>
              </w:pBdr>
              <w:spacing w:line="240" w:lineRule="auto"/>
            </w:pPr>
            <w:r>
              <w:rPr>
                <w:rFonts w:ascii="Arial" w:eastAsia="Arial" w:hAnsi="Arial" w:cs="Arial"/>
                <w:color w:val="000000"/>
              </w:rPr>
              <w:t>Make payment to Program Lender on or before closing date for Program Sponsor’s participation interest in each loan.</w:t>
            </w:r>
          </w:p>
          <w:p w14:paraId="10FA0808" w14:textId="77777777" w:rsidR="00B70697" w:rsidRDefault="00312B5F">
            <w:pPr>
              <w:numPr>
                <w:ilvl w:val="0"/>
                <w:numId w:val="4"/>
              </w:numPr>
              <w:pBdr>
                <w:top w:val="nil"/>
                <w:left w:val="nil"/>
                <w:bottom w:val="nil"/>
                <w:right w:val="nil"/>
                <w:between w:val="nil"/>
              </w:pBdr>
              <w:spacing w:line="240" w:lineRule="auto"/>
            </w:pPr>
            <w:r>
              <w:rPr>
                <w:rFonts w:ascii="Arial" w:eastAsia="Arial" w:hAnsi="Arial" w:cs="Arial"/>
                <w:color w:val="000000"/>
              </w:rPr>
              <w:t>Review Eligible Project details and Energy Audit and communicate project approval to Program Lender.</w:t>
            </w:r>
          </w:p>
          <w:p w14:paraId="6312C35E" w14:textId="77777777" w:rsidR="00B70697" w:rsidRDefault="00312B5F">
            <w:pPr>
              <w:numPr>
                <w:ilvl w:val="0"/>
                <w:numId w:val="4"/>
              </w:numPr>
              <w:pBdr>
                <w:top w:val="nil"/>
                <w:left w:val="nil"/>
                <w:bottom w:val="nil"/>
                <w:right w:val="nil"/>
                <w:between w:val="nil"/>
              </w:pBdr>
              <w:spacing w:line="240" w:lineRule="auto"/>
              <w:rPr>
                <w:color w:val="FF0000"/>
              </w:rPr>
            </w:pPr>
            <w:r>
              <w:rPr>
                <w:rFonts w:ascii="Arial" w:eastAsia="Arial" w:hAnsi="Arial" w:cs="Arial"/>
                <w:color w:val="FF0000"/>
              </w:rPr>
              <w:t>[</w:t>
            </w:r>
            <w:r>
              <w:rPr>
                <w:rFonts w:ascii="Arial" w:eastAsia="Arial" w:hAnsi="Arial" w:cs="Arial"/>
                <w:color w:val="FF0000"/>
              </w:rPr>
              <w:t>Review, approve, and pay energy audit subsidies – if applicable]</w:t>
            </w:r>
          </w:p>
          <w:p w14:paraId="61DDCA48" w14:textId="77777777" w:rsidR="00B70697" w:rsidRDefault="00312B5F">
            <w:pPr>
              <w:numPr>
                <w:ilvl w:val="0"/>
                <w:numId w:val="4"/>
              </w:numPr>
              <w:pBdr>
                <w:top w:val="nil"/>
                <w:left w:val="nil"/>
                <w:bottom w:val="nil"/>
                <w:right w:val="nil"/>
                <w:between w:val="nil"/>
              </w:pBdr>
              <w:spacing w:line="240" w:lineRule="auto"/>
            </w:pPr>
            <w:r>
              <w:rPr>
                <w:rFonts w:ascii="Arial" w:eastAsia="Arial" w:hAnsi="Arial" w:cs="Arial"/>
                <w:color w:val="000000"/>
              </w:rPr>
              <w:t>Monitor federal grant requirements (Davis Bacon Act, Build America Buy America Act, National Environmental Policy Act).</w:t>
            </w:r>
          </w:p>
        </w:tc>
      </w:tr>
      <w:tr w:rsidR="00B70697" w14:paraId="78E202B3" w14:textId="77777777">
        <w:tc>
          <w:tcPr>
            <w:tcW w:w="1755" w:type="dxa"/>
          </w:tcPr>
          <w:p w14:paraId="44BBC5B5"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 Responsibilities</w:t>
            </w:r>
          </w:p>
        </w:tc>
        <w:tc>
          <w:tcPr>
            <w:tcW w:w="8400" w:type="dxa"/>
          </w:tcPr>
          <w:p w14:paraId="729C8F76" w14:textId="77777777" w:rsidR="00B70697" w:rsidRDefault="00312B5F">
            <w:pPr>
              <w:numPr>
                <w:ilvl w:val="0"/>
                <w:numId w:val="1"/>
              </w:numPr>
              <w:pBdr>
                <w:top w:val="nil"/>
                <w:left w:val="nil"/>
                <w:bottom w:val="nil"/>
                <w:right w:val="nil"/>
                <w:between w:val="nil"/>
              </w:pBdr>
              <w:spacing w:line="240" w:lineRule="auto"/>
            </w:pPr>
            <w:r>
              <w:rPr>
                <w:rFonts w:ascii="Arial" w:eastAsia="Arial" w:hAnsi="Arial" w:cs="Arial"/>
                <w:color w:val="000000"/>
              </w:rPr>
              <w:t xml:space="preserve">Loan origination. </w:t>
            </w:r>
          </w:p>
          <w:p w14:paraId="7B38927B" w14:textId="77777777" w:rsidR="00B70697" w:rsidRDefault="00312B5F">
            <w:pPr>
              <w:numPr>
                <w:ilvl w:val="0"/>
                <w:numId w:val="1"/>
              </w:numPr>
              <w:pBdr>
                <w:top w:val="nil"/>
                <w:left w:val="nil"/>
                <w:bottom w:val="nil"/>
                <w:right w:val="nil"/>
                <w:between w:val="nil"/>
              </w:pBdr>
              <w:spacing w:line="240" w:lineRule="auto"/>
            </w:pPr>
            <w:r>
              <w:rPr>
                <w:rFonts w:ascii="Arial" w:eastAsia="Arial" w:hAnsi="Arial" w:cs="Arial"/>
                <w:color w:val="000000"/>
              </w:rPr>
              <w:t>Loan servicing, using the same standards as Program Lender would use for loans made from its own account without support from Program Sponsor.</w:t>
            </w:r>
          </w:p>
          <w:p w14:paraId="44587930" w14:textId="77777777" w:rsidR="00B70697" w:rsidRDefault="00312B5F">
            <w:pPr>
              <w:numPr>
                <w:ilvl w:val="0"/>
                <w:numId w:val="1"/>
              </w:numPr>
              <w:pBdr>
                <w:top w:val="nil"/>
                <w:left w:val="nil"/>
                <w:bottom w:val="nil"/>
                <w:right w:val="nil"/>
                <w:between w:val="nil"/>
              </w:pBdr>
              <w:spacing w:line="240" w:lineRule="auto"/>
            </w:pPr>
            <w:r>
              <w:rPr>
                <w:rFonts w:ascii="Arial" w:eastAsia="Arial" w:hAnsi="Arial" w:cs="Arial"/>
                <w:color w:val="000000"/>
              </w:rPr>
              <w:t>Collections for loans in default, at Lender’s expense, using the same standards as Program Lender would use for loans made from its own account without support from Program Sponsor.</w:t>
            </w:r>
          </w:p>
          <w:p w14:paraId="112DEDB3" w14:textId="77777777" w:rsidR="00B70697" w:rsidRDefault="00312B5F">
            <w:pPr>
              <w:numPr>
                <w:ilvl w:val="0"/>
                <w:numId w:val="1"/>
              </w:numPr>
              <w:pBdr>
                <w:top w:val="nil"/>
                <w:left w:val="nil"/>
                <w:bottom w:val="nil"/>
                <w:right w:val="nil"/>
                <w:between w:val="nil"/>
              </w:pBdr>
              <w:spacing w:line="240" w:lineRule="auto"/>
            </w:pPr>
            <w:r>
              <w:rPr>
                <w:rFonts w:ascii="Arial" w:eastAsia="Arial" w:hAnsi="Arial" w:cs="Arial"/>
                <w:color w:val="000000"/>
              </w:rPr>
              <w:t xml:space="preserve">Flow down federal requirements to borrower and their contractors and subcontractors via contractual language in 29 CFR 5.5.  </w:t>
            </w:r>
          </w:p>
          <w:p w14:paraId="2A04958A" w14:textId="77777777" w:rsidR="00B70697" w:rsidRDefault="00312B5F">
            <w:pPr>
              <w:numPr>
                <w:ilvl w:val="0"/>
                <w:numId w:val="1"/>
              </w:numPr>
              <w:pBdr>
                <w:top w:val="nil"/>
                <w:left w:val="nil"/>
                <w:bottom w:val="nil"/>
                <w:right w:val="nil"/>
                <w:between w:val="nil"/>
              </w:pBdr>
              <w:spacing w:line="240" w:lineRule="auto"/>
            </w:pPr>
            <w:r>
              <w:rPr>
                <w:rFonts w:ascii="Arial" w:eastAsia="Arial" w:hAnsi="Arial" w:cs="Arial"/>
              </w:rPr>
              <w:t>Program Lender shall provide a monthly statement or report for each loan to include the loan principal balance, principal payments received for the month, interest payments received for the month and the amount allocated to Program Sponsor.  The statement/report shall be submitted to Program Sponsor no later than the 15</w:t>
            </w:r>
            <w:r>
              <w:rPr>
                <w:rFonts w:ascii="Arial" w:eastAsia="Arial" w:hAnsi="Arial" w:cs="Arial"/>
                <w:vertAlign w:val="superscript"/>
              </w:rPr>
              <w:t>th</w:t>
            </w:r>
            <w:r>
              <w:rPr>
                <w:rFonts w:ascii="Arial" w:eastAsia="Arial" w:hAnsi="Arial" w:cs="Arial"/>
              </w:rPr>
              <w:t xml:space="preserve"> day of the following month.</w:t>
            </w:r>
          </w:p>
          <w:p w14:paraId="0CE99ABD" w14:textId="77777777" w:rsidR="00B70697" w:rsidRDefault="00312B5F">
            <w:pPr>
              <w:numPr>
                <w:ilvl w:val="0"/>
                <w:numId w:val="1"/>
              </w:numPr>
              <w:pBdr>
                <w:top w:val="nil"/>
                <w:left w:val="nil"/>
                <w:bottom w:val="nil"/>
                <w:right w:val="nil"/>
                <w:between w:val="nil"/>
              </w:pBdr>
              <w:spacing w:line="240" w:lineRule="auto"/>
              <w:rPr>
                <w:rFonts w:ascii="Arial" w:eastAsia="Arial" w:hAnsi="Arial" w:cs="Arial"/>
              </w:rPr>
            </w:pPr>
            <w:r>
              <w:rPr>
                <w:rFonts w:ascii="Arial" w:eastAsia="Arial" w:hAnsi="Arial" w:cs="Arial"/>
              </w:rPr>
              <w:t>Program Lender shall provide Program Sponsor a quarterly report of any loans which are 90+ days past due or have been written off by Program Lender.  For each loan, the report shall include: the name of the borrower, the original principal loan amount, the principal loan balance, the date and amount of the last payment, and whether or not the loan has been written off.  This report shall be as of the last day of each calendar quarter and shall be submitted to Program Sponsor by the 15</w:t>
            </w:r>
            <w:r>
              <w:rPr>
                <w:rFonts w:ascii="Arial" w:eastAsia="Arial" w:hAnsi="Arial" w:cs="Arial"/>
                <w:vertAlign w:val="superscript"/>
              </w:rPr>
              <w:t>th</w:t>
            </w:r>
            <w:r>
              <w:rPr>
                <w:rFonts w:ascii="Arial" w:eastAsia="Arial" w:hAnsi="Arial" w:cs="Arial"/>
              </w:rPr>
              <w:t xml:space="preserve"> day after each calendar quarter.  If no loans are 90+ days past due or written off, the Program Lender shall provide a written confirmation to Program Sponsor.</w:t>
            </w:r>
          </w:p>
        </w:tc>
      </w:tr>
      <w:tr w:rsidR="00B70697" w14:paraId="32BE60D0" w14:textId="77777777">
        <w:tc>
          <w:tcPr>
            <w:tcW w:w="1755" w:type="dxa"/>
          </w:tcPr>
          <w:p w14:paraId="118E7628"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Federal requirements</w:t>
            </w:r>
          </w:p>
        </w:tc>
        <w:tc>
          <w:tcPr>
            <w:tcW w:w="8400" w:type="dxa"/>
          </w:tcPr>
          <w:p w14:paraId="21578A04" w14:textId="77777777" w:rsidR="00B70697" w:rsidRDefault="00312B5F">
            <w:pPr>
              <w:numPr>
                <w:ilvl w:val="0"/>
                <w:numId w:val="5"/>
              </w:numPr>
              <w:pBdr>
                <w:top w:val="nil"/>
                <w:left w:val="nil"/>
                <w:bottom w:val="nil"/>
                <w:right w:val="nil"/>
                <w:between w:val="nil"/>
              </w:pBdr>
              <w:spacing w:line="240" w:lineRule="auto"/>
            </w:pPr>
            <w:r>
              <w:rPr>
                <w:rFonts w:ascii="Arial" w:eastAsia="Arial" w:hAnsi="Arial" w:cs="Arial"/>
                <w:color w:val="000000"/>
              </w:rPr>
              <w:t>Program Sponsor’s grant award requires that its program must be ready to receive loan applications no later than 180 days after receipt of its grant award (Program Sponsor may request U.S. Department of Energy approval to extend this date up to six months to allow for finalizing agreement(s) with Program Lender(s) and other third-party program partners).</w:t>
            </w:r>
          </w:p>
          <w:p w14:paraId="365678BF" w14:textId="77777777" w:rsidR="00B70697" w:rsidRDefault="00312B5F">
            <w:pPr>
              <w:numPr>
                <w:ilvl w:val="0"/>
                <w:numId w:val="5"/>
              </w:numPr>
              <w:pBdr>
                <w:top w:val="nil"/>
                <w:left w:val="nil"/>
                <w:bottom w:val="nil"/>
                <w:right w:val="nil"/>
                <w:between w:val="nil"/>
              </w:pBdr>
              <w:spacing w:line="240" w:lineRule="auto"/>
            </w:pPr>
            <w:r>
              <w:rPr>
                <w:rFonts w:ascii="Arial" w:eastAsia="Arial" w:hAnsi="Arial" w:cs="Arial"/>
                <w:color w:val="000000"/>
              </w:rPr>
              <w:t xml:space="preserve">All Eligible Projects must comply with laborer wage and benefit requirements and reporting under the Davis-Bacon Act.  The Contractor/subcontractor(s) responsible for installing the Eligible Project will be required to submit weekly </w:t>
            </w:r>
            <w:r>
              <w:rPr>
                <w:rFonts w:ascii="Arial" w:eastAsia="Arial" w:hAnsi="Arial" w:cs="Arial"/>
                <w:color w:val="000000"/>
              </w:rPr>
              <w:lastRenderedPageBreak/>
              <w:t xml:space="preserve">certified wage and benefit reports using DOEs LCPTracker system during the term of the Eligible Project. See </w:t>
            </w:r>
            <w:hyperlink r:id="rId19">
              <w:r>
                <w:rPr>
                  <w:rFonts w:ascii="Arial" w:eastAsia="Arial" w:hAnsi="Arial" w:cs="Arial"/>
                  <w:color w:val="0000FF"/>
                  <w:u w:val="single"/>
                </w:rPr>
                <w:t>https://www.energy.gov/infrastructure/davis-bacon-act</w:t>
              </w:r>
            </w:hyperlink>
            <w:r>
              <w:rPr>
                <w:rFonts w:ascii="Arial" w:eastAsia="Arial" w:hAnsi="Arial" w:cs="Arial"/>
                <w:color w:val="000000"/>
              </w:rPr>
              <w:t>.</w:t>
            </w:r>
          </w:p>
          <w:p w14:paraId="2E630131" w14:textId="77777777" w:rsidR="00B70697" w:rsidRDefault="00312B5F">
            <w:pPr>
              <w:numPr>
                <w:ilvl w:val="0"/>
                <w:numId w:val="5"/>
              </w:numPr>
              <w:pBdr>
                <w:top w:val="nil"/>
                <w:left w:val="nil"/>
                <w:bottom w:val="nil"/>
                <w:right w:val="nil"/>
                <w:between w:val="nil"/>
              </w:pBdr>
              <w:spacing w:line="240" w:lineRule="auto"/>
            </w:pPr>
            <w:r>
              <w:rPr>
                <w:rFonts w:ascii="Arial" w:eastAsia="Arial" w:hAnsi="Arial" w:cs="Arial"/>
                <w:color w:val="000000"/>
              </w:rPr>
              <w:t xml:space="preserve">Projects must comply with the Build America Buy America Act and National Environmental Policy Act where applicable.  </w:t>
            </w:r>
          </w:p>
          <w:p w14:paraId="27318B6B" w14:textId="77777777" w:rsidR="00B70697" w:rsidRDefault="00312B5F">
            <w:pPr>
              <w:numPr>
                <w:ilvl w:val="0"/>
                <w:numId w:val="5"/>
              </w:numPr>
              <w:pBdr>
                <w:top w:val="nil"/>
                <w:left w:val="nil"/>
                <w:bottom w:val="nil"/>
                <w:right w:val="nil"/>
                <w:between w:val="nil"/>
              </w:pBdr>
              <w:spacing w:line="240" w:lineRule="auto"/>
            </w:pPr>
            <w:r>
              <w:rPr>
                <w:rFonts w:ascii="Arial" w:eastAsia="Arial" w:hAnsi="Arial" w:cs="Arial"/>
                <w:color w:val="FF0000"/>
              </w:rPr>
              <w:t>[Program Sponsor/Program Administrator]</w:t>
            </w:r>
            <w:r>
              <w:rPr>
                <w:rFonts w:ascii="Arial" w:eastAsia="Arial" w:hAnsi="Arial" w:cs="Arial"/>
                <w:color w:val="000000"/>
              </w:rPr>
              <w:t xml:space="preserve"> will review and monitor federal requirements for Eligible Projects.</w:t>
            </w:r>
          </w:p>
        </w:tc>
      </w:tr>
      <w:tr w:rsidR="00B70697" w14:paraId="79A991B8" w14:textId="77777777">
        <w:tc>
          <w:tcPr>
            <w:tcW w:w="1755" w:type="dxa"/>
          </w:tcPr>
          <w:p w14:paraId="4C94D657" w14:textId="77777777" w:rsidR="00B70697" w:rsidRDefault="00312B5F">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Agreements</w:t>
            </w:r>
          </w:p>
        </w:tc>
        <w:tc>
          <w:tcPr>
            <w:tcW w:w="8400" w:type="dxa"/>
          </w:tcPr>
          <w:p w14:paraId="04EFAC17" w14:textId="580406F1" w:rsidR="00B70697" w:rsidRDefault="00312B5F">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 xml:space="preserve">Program Sponsor will enter </w:t>
            </w:r>
            <w:r w:rsidR="004F4D87">
              <w:rPr>
                <w:rFonts w:ascii="Arial" w:eastAsia="Arial" w:hAnsi="Arial" w:cs="Arial"/>
                <w:color w:val="FF0000"/>
              </w:rPr>
              <w:t>into loan agreement with approved borrowers</w:t>
            </w:r>
            <w:r>
              <w:rPr>
                <w:rFonts w:ascii="Arial" w:eastAsia="Arial" w:hAnsi="Arial" w:cs="Arial"/>
                <w:color w:val="FF0000"/>
              </w:rPr>
              <w:t xml:space="preserve"> for each approved project.]</w:t>
            </w:r>
          </w:p>
        </w:tc>
      </w:tr>
    </w:tbl>
    <w:p w14:paraId="794835DA" w14:textId="77777777" w:rsidR="00B70697" w:rsidRDefault="00B70697"/>
    <w:p w14:paraId="6246EFB1" w14:textId="77777777" w:rsidR="00B70697" w:rsidRDefault="00312B5F">
      <w:pPr>
        <w:spacing w:line="240" w:lineRule="auto"/>
        <w:sectPr w:rsidR="00B70697">
          <w:headerReference w:type="even" r:id="rId20"/>
          <w:headerReference w:type="default" r:id="rId21"/>
          <w:footerReference w:type="even" r:id="rId22"/>
          <w:footerReference w:type="default" r:id="rId23"/>
          <w:headerReference w:type="first" r:id="rId24"/>
          <w:pgSz w:w="12240" w:h="15840"/>
          <w:pgMar w:top="1523" w:right="1080" w:bottom="720" w:left="1080" w:header="0" w:footer="318" w:gutter="0"/>
          <w:pgNumType w:start="1"/>
          <w:cols w:space="720"/>
        </w:sectPr>
      </w:pPr>
      <w:r>
        <w:br w:type="page"/>
      </w:r>
    </w:p>
    <w:p w14:paraId="5666511C" w14:textId="77777777" w:rsidR="00B70697" w:rsidRDefault="00B70697">
      <w:pPr>
        <w:rPr>
          <w:rFonts w:ascii="Arial" w:eastAsia="Arial" w:hAnsi="Arial" w:cs="Arial"/>
          <w:color w:val="177CA3"/>
          <w:sz w:val="32"/>
          <w:szCs w:val="32"/>
        </w:rPr>
      </w:pPr>
    </w:p>
    <w:p w14:paraId="2E428A05" w14:textId="77777777" w:rsidR="00B70697" w:rsidRDefault="00B70697">
      <w:pPr>
        <w:rPr>
          <w:rFonts w:ascii="Arial" w:eastAsia="Arial" w:hAnsi="Arial" w:cs="Arial"/>
          <w:color w:val="177CA3"/>
          <w:sz w:val="32"/>
          <w:szCs w:val="32"/>
        </w:rPr>
      </w:pPr>
    </w:p>
    <w:p w14:paraId="49B5BC68" w14:textId="77777777" w:rsidR="00B70697" w:rsidRDefault="00B70697">
      <w:pPr>
        <w:pStyle w:val="Heading2"/>
      </w:pPr>
    </w:p>
    <w:p w14:paraId="5C09AC69" w14:textId="77777777" w:rsidR="00B70697" w:rsidRDefault="00312B5F">
      <w:pPr>
        <w:pStyle w:val="Heading2"/>
      </w:pPr>
      <w:r>
        <w:t>Disclaimer and Copyright Notice</w:t>
      </w:r>
    </w:p>
    <w:p w14:paraId="7A280EAF" w14:textId="77777777" w:rsidR="00B70697" w:rsidRDefault="00312B5F">
      <w:pPr>
        <w:pBdr>
          <w:top w:val="nil"/>
          <w:left w:val="nil"/>
          <w:bottom w:val="nil"/>
          <w:right w:val="nil"/>
          <w:between w:val="nil"/>
        </w:pBdr>
        <w:spacing w:line="240" w:lineRule="auto"/>
        <w:jc w:val="both"/>
        <w:rPr>
          <w:color w:val="000000"/>
        </w:rPr>
      </w:pPr>
      <w:r>
        <w:rPr>
          <w:color w:val="000000"/>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w:t>
      </w:r>
      <w:r>
        <w:rPr>
          <w:color w:val="000000"/>
        </w:rPr>
        <w:t>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w:t>
      </w:r>
      <w:r>
        <w:rPr>
          <w:color w:val="000000"/>
        </w:rPr>
        <w:t>egents of the University of California. Ernest Orlando Lawrence Berkeley National Laboratory is an equal opportunity employer.</w:t>
      </w:r>
    </w:p>
    <w:p w14:paraId="6DC847E8" w14:textId="77777777" w:rsidR="00B70697" w:rsidRDefault="00B70697">
      <w:pPr>
        <w:pBdr>
          <w:top w:val="nil"/>
          <w:left w:val="nil"/>
          <w:bottom w:val="nil"/>
          <w:right w:val="nil"/>
          <w:between w:val="nil"/>
        </w:pBdr>
        <w:spacing w:line="240" w:lineRule="auto"/>
        <w:jc w:val="both"/>
        <w:rPr>
          <w:color w:val="000000"/>
        </w:rPr>
      </w:pPr>
    </w:p>
    <w:p w14:paraId="377B84B2" w14:textId="77777777" w:rsidR="00B70697" w:rsidRDefault="00312B5F">
      <w:pPr>
        <w:pBdr>
          <w:top w:val="nil"/>
          <w:left w:val="nil"/>
          <w:bottom w:val="nil"/>
          <w:right w:val="nil"/>
          <w:between w:val="nil"/>
        </w:pBdr>
        <w:spacing w:line="240" w:lineRule="auto"/>
        <w:jc w:val="both"/>
        <w:rPr>
          <w:color w:val="000000"/>
        </w:rPr>
      </w:pPr>
      <w:r>
        <w:rPr>
          <w:color w:val="000000"/>
        </w:rPr>
        <w:t>This manuscript has been authored by an author at Lawrence Berkeley National Laboratory under Contract No. DE-AC02-05CH11231 with the U.S. Department of Energy.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w:t>
      </w:r>
    </w:p>
    <w:p w14:paraId="189E6C6B" w14:textId="77777777" w:rsidR="00B70697" w:rsidRDefault="00B70697">
      <w:pPr>
        <w:pBdr>
          <w:top w:val="nil"/>
          <w:left w:val="nil"/>
          <w:bottom w:val="nil"/>
          <w:right w:val="nil"/>
          <w:between w:val="nil"/>
        </w:pBdr>
        <w:spacing w:line="240" w:lineRule="auto"/>
        <w:jc w:val="both"/>
        <w:rPr>
          <w:rFonts w:ascii="Arial" w:eastAsia="Arial" w:hAnsi="Arial" w:cs="Arial"/>
          <w:color w:val="000000"/>
          <w:sz w:val="18"/>
          <w:szCs w:val="18"/>
        </w:rPr>
      </w:pPr>
    </w:p>
    <w:p w14:paraId="10B210DA" w14:textId="77777777" w:rsidR="00B70697" w:rsidRDefault="00B70697">
      <w:pPr>
        <w:jc w:val="center"/>
      </w:pPr>
    </w:p>
    <w:p w14:paraId="1A3D35B8" w14:textId="77777777" w:rsidR="00B70697" w:rsidRDefault="00B70697">
      <w:pPr>
        <w:jc w:val="center"/>
      </w:pPr>
    </w:p>
    <w:p w14:paraId="39428200" w14:textId="77777777" w:rsidR="00B70697" w:rsidRDefault="00B70697"/>
    <w:p w14:paraId="47820FA5" w14:textId="77777777" w:rsidR="00B70697" w:rsidRDefault="00B70697"/>
    <w:p w14:paraId="639EF805" w14:textId="77777777" w:rsidR="00B70697" w:rsidRDefault="00B70697"/>
    <w:p w14:paraId="649DB1CE" w14:textId="77777777" w:rsidR="00B70697" w:rsidRDefault="00B70697">
      <w:pPr>
        <w:jc w:val="center"/>
      </w:pPr>
    </w:p>
    <w:p w14:paraId="10BB0B73" w14:textId="77777777" w:rsidR="00B70697" w:rsidRDefault="00B70697">
      <w:pPr>
        <w:jc w:val="center"/>
      </w:pPr>
    </w:p>
    <w:p w14:paraId="72B2E58F" w14:textId="77777777" w:rsidR="00B70697" w:rsidRDefault="00312B5F">
      <w:pPr>
        <w:jc w:val="center"/>
      </w:pPr>
      <w:r>
        <w:rPr>
          <w:noProof/>
        </w:rPr>
        <w:drawing>
          <wp:inline distT="114300" distB="114300" distL="114300" distR="114300" wp14:anchorId="1B3C2D62" wp14:editId="6EA5C5E4">
            <wp:extent cx="3671888" cy="1054575"/>
            <wp:effectExtent l="0" t="0" r="0" b="0"/>
            <wp:docPr id="1858586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671888" cy="1054575"/>
                    </a:xfrm>
                    <a:prstGeom prst="rect">
                      <a:avLst/>
                    </a:prstGeom>
                    <a:ln/>
                  </pic:spPr>
                </pic:pic>
              </a:graphicData>
            </a:graphic>
          </wp:inline>
        </w:drawing>
      </w:r>
    </w:p>
    <w:p w14:paraId="541D9449" w14:textId="77777777" w:rsidR="00B70697" w:rsidRDefault="00B70697"/>
    <w:p w14:paraId="0DCE9FBF" w14:textId="77777777" w:rsidR="00B70697" w:rsidRDefault="00B70697">
      <w:pPr>
        <w:jc w:val="center"/>
      </w:pPr>
    </w:p>
    <w:p w14:paraId="4AD31317" w14:textId="77777777" w:rsidR="00B70697" w:rsidRDefault="00B70697">
      <w:pPr>
        <w:jc w:val="center"/>
      </w:pPr>
    </w:p>
    <w:p w14:paraId="1E9035BF" w14:textId="77777777" w:rsidR="00B70697" w:rsidRDefault="00B70697">
      <w:pPr>
        <w:jc w:val="center"/>
      </w:pPr>
    </w:p>
    <w:p w14:paraId="1D6A9271" w14:textId="77777777" w:rsidR="00B70697" w:rsidRDefault="00B70697">
      <w:pPr>
        <w:jc w:val="center"/>
      </w:pPr>
    </w:p>
    <w:p w14:paraId="1C80B96B" w14:textId="77777777" w:rsidR="00B70697" w:rsidRDefault="00B70697">
      <w:pPr>
        <w:jc w:val="center"/>
      </w:pPr>
    </w:p>
    <w:p w14:paraId="1155F279" w14:textId="77777777" w:rsidR="00B70697" w:rsidRDefault="00B70697">
      <w:pPr>
        <w:pBdr>
          <w:top w:val="single" w:sz="4" w:space="1" w:color="00303C"/>
        </w:pBdr>
        <w:jc w:val="center"/>
        <w:rPr>
          <w:sz w:val="8"/>
          <w:szCs w:val="8"/>
        </w:rPr>
      </w:pPr>
    </w:p>
    <w:p w14:paraId="2943D311" w14:textId="77777777" w:rsidR="00B70697" w:rsidRDefault="00312B5F">
      <w:pPr>
        <w:jc w:val="center"/>
        <w:rPr>
          <w:rFonts w:ascii="Arial" w:eastAsia="Arial" w:hAnsi="Arial" w:cs="Arial"/>
          <w:color w:val="0000FF"/>
          <w:sz w:val="20"/>
          <w:szCs w:val="20"/>
          <w:u w:val="single"/>
        </w:rPr>
      </w:pPr>
      <w:r>
        <w:t xml:space="preserve">For more information, visit us at </w:t>
      </w:r>
      <w:hyperlink r:id="rId26">
        <w:r>
          <w:rPr>
            <w:rFonts w:ascii="Arial" w:eastAsia="Arial" w:hAnsi="Arial" w:cs="Arial"/>
            <w:color w:val="0000FF"/>
            <w:sz w:val="20"/>
            <w:szCs w:val="20"/>
            <w:u w:val="single"/>
          </w:rPr>
          <w:t>https://emp.lbl.gov/</w:t>
        </w:r>
      </w:hyperlink>
      <w:r>
        <w:br/>
        <w:t xml:space="preserve">For all of our downloadable publications, visit </w:t>
      </w:r>
      <w:hyperlink r:id="rId27">
        <w:r>
          <w:rPr>
            <w:rFonts w:ascii="Arial" w:eastAsia="Arial" w:hAnsi="Arial" w:cs="Arial"/>
            <w:color w:val="0000FF"/>
            <w:sz w:val="20"/>
            <w:szCs w:val="20"/>
            <w:u w:val="single"/>
          </w:rPr>
          <w:t>https://emp.lbl.gov/publications</w:t>
        </w:r>
      </w:hyperlink>
    </w:p>
    <w:p w14:paraId="2A04F51D" w14:textId="77777777" w:rsidR="00B70697" w:rsidRDefault="00B70697">
      <w:pPr>
        <w:pBdr>
          <w:bottom w:val="single" w:sz="4" w:space="1" w:color="00303C"/>
        </w:pBdr>
        <w:jc w:val="center"/>
        <w:rPr>
          <w:sz w:val="10"/>
          <w:szCs w:val="10"/>
        </w:rPr>
      </w:pPr>
    </w:p>
    <w:sectPr w:rsidR="00B70697">
      <w:headerReference w:type="default" r:id="rId28"/>
      <w:footerReference w:type="default" r:id="rId29"/>
      <w:pgSz w:w="12240" w:h="15840"/>
      <w:pgMar w:top="720" w:right="1080" w:bottom="1526" w:left="108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5D1CD" w14:textId="77777777" w:rsidR="00312B5F" w:rsidRDefault="00312B5F">
      <w:pPr>
        <w:spacing w:line="240" w:lineRule="auto"/>
      </w:pPr>
      <w:r>
        <w:separator/>
      </w:r>
    </w:p>
  </w:endnote>
  <w:endnote w:type="continuationSeparator" w:id="0">
    <w:p w14:paraId="1C8C248C" w14:textId="77777777" w:rsidR="00312B5F" w:rsidRDefault="00312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0BAE14-FD29-473F-B3A5-1F435EF8E515}"/>
  </w:font>
  <w:font w:name="Calibri">
    <w:panose1 w:val="020F0502020204030204"/>
    <w:charset w:val="00"/>
    <w:family w:val="swiss"/>
    <w:pitch w:val="variable"/>
    <w:sig w:usb0="E4002EFF" w:usb1="C200247B" w:usb2="00000009" w:usb3="00000000" w:csb0="000001FF" w:csb1="00000000"/>
    <w:embedRegular r:id="rId2" w:fontKey="{CEA77F63-B384-491D-B3FD-C8DD01B4F37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9769057-BB09-4256-8A81-E3C6A47B69EA}"/>
    <w:embedBold r:id="rId4" w:fontKey="{41321CA3-BD77-4ED4-9BB0-7AF685ED0765}"/>
    <w:embedItalic r:id="rId5" w:fontKey="{FC2817F7-A807-42D8-8BC9-C1B509C93B0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41E77C24-DE02-4D10-B95F-1C8E0AA1C642}"/>
    <w:embedBold r:id="rId7" w:fontKey="{D0B98FD2-A884-46C8-99A7-41E4DC1115E0}"/>
  </w:font>
  <w:font w:name="Tahoma">
    <w:panose1 w:val="020B0604030504040204"/>
    <w:charset w:val="00"/>
    <w:family w:val="roman"/>
    <w:pitch w:val="default"/>
    <w:embedRegular r:id="rId8" w:fontKey="{3814E34C-9320-480C-BFC9-3BE4FCFCB848}"/>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B7B68" w14:textId="77777777" w:rsidR="00B70697" w:rsidRDefault="00312B5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FA2164" w14:textId="77777777" w:rsidR="00B70697" w:rsidRDefault="00B7069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48AB" w14:textId="77777777" w:rsidR="00B70697" w:rsidRDefault="00312B5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C4827">
      <w:rPr>
        <w:noProof/>
        <w:color w:val="000000"/>
      </w:rPr>
      <w:t>1</w:t>
    </w:r>
    <w:r>
      <w:rPr>
        <w:color w:val="000000"/>
      </w:rPr>
      <w:fldChar w:fldCharType="end"/>
    </w:r>
  </w:p>
  <w:p w14:paraId="6210A45B" w14:textId="77777777" w:rsidR="00B70697" w:rsidRDefault="00B70697">
    <w:pPr>
      <w:pBdr>
        <w:bottom w:val="dotted" w:sz="4" w:space="1" w:color="000000"/>
      </w:pBdr>
      <w:spacing w:line="240" w:lineRule="auto"/>
      <w:ind w:right="720"/>
      <w:jc w:val="both"/>
      <w:rPr>
        <w:rFonts w:ascii="Arial" w:eastAsia="Arial" w:hAnsi="Arial" w:cs="Arial"/>
        <w:sz w:val="10"/>
        <w:szCs w:val="10"/>
      </w:rPr>
    </w:pPr>
  </w:p>
  <w:p w14:paraId="337E27E7" w14:textId="77777777" w:rsidR="00B70697" w:rsidRDefault="00312B5F">
    <w:pPr>
      <w:spacing w:line="240" w:lineRule="auto"/>
      <w:ind w:right="720"/>
      <w:rPr>
        <w:rFonts w:ascii="Arial" w:eastAsia="Arial" w:hAnsi="Arial" w:cs="Arial"/>
        <w:color w:val="595959"/>
        <w:sz w:val="18"/>
        <w:szCs w:val="18"/>
      </w:rPr>
    </w:pPr>
    <w:r>
      <w:rPr>
        <w:rFonts w:ascii="Arial" w:eastAsia="Arial" w:hAnsi="Arial" w:cs="Arial"/>
        <w:i/>
        <w:iCs/>
        <w:color w:val="595959"/>
        <w:sz w:val="18"/>
        <w:szCs w:val="18"/>
      </w:rPr>
      <w:t xml:space="preserve">The work described in this report was funded by the U.S. Department of Energy’s Office of State and Community Energy Programs under Lawrence Berkeley National Laboratory Contract No. DE-AC02-05CH11231. If you have questions or need clarification of any points, please contact Greg Leventis at GLeventis@lbl.gov. Interested in other LBNL Electricity Markets and Policy Group publications? Join our notification list </w:t>
    </w:r>
    <w:hyperlink r:id="rId1">
      <w:r>
        <w:rPr>
          <w:rFonts w:ascii="Arial" w:eastAsia="Arial" w:hAnsi="Arial" w:cs="Arial"/>
          <w:i/>
          <w:iCs/>
          <w:color w:val="595959"/>
          <w:sz w:val="18"/>
          <w:szCs w:val="18"/>
          <w:u w:val="single"/>
        </w:rPr>
        <w:t>here</w:t>
      </w:r>
    </w:hyperlink>
    <w:r>
      <w:rPr>
        <w:rFonts w:ascii="Arial" w:eastAsia="Arial" w:hAnsi="Arial" w:cs="Arial"/>
        <w:i/>
        <w:iCs/>
        <w:color w:val="595959"/>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BDF1" w14:textId="77777777" w:rsidR="00B70697" w:rsidRDefault="00B70697">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42C54" w14:textId="77777777" w:rsidR="00312B5F" w:rsidRDefault="00312B5F">
      <w:pPr>
        <w:spacing w:line="240" w:lineRule="auto"/>
      </w:pPr>
      <w:r>
        <w:separator/>
      </w:r>
    </w:p>
  </w:footnote>
  <w:footnote w:type="continuationSeparator" w:id="0">
    <w:p w14:paraId="63638641" w14:textId="77777777" w:rsidR="00312B5F" w:rsidRDefault="00312B5F">
      <w:pPr>
        <w:spacing w:line="240" w:lineRule="auto"/>
      </w:pPr>
      <w:r>
        <w:continuationSeparator/>
      </w:r>
    </w:p>
  </w:footnote>
  <w:footnote w:id="1">
    <w:p w14:paraId="6408969C" w14:textId="77777777" w:rsidR="00B70697" w:rsidRDefault="00312B5F">
      <w:pPr>
        <w:spacing w:line="240" w:lineRule="auto"/>
        <w:rPr>
          <w:rFonts w:ascii="Arial" w:eastAsia="Arial" w:hAnsi="Arial" w:cs="Arial"/>
          <w:sz w:val="20"/>
          <w:szCs w:val="20"/>
        </w:rPr>
      </w:pPr>
      <w:r>
        <w:rPr>
          <w:rStyle w:val="FootnoteReference"/>
        </w:rPr>
        <w:footnoteRef/>
      </w:r>
      <w:r>
        <w:rPr>
          <w:rFonts w:ascii="Arial" w:eastAsia="Arial" w:hAnsi="Arial" w:cs="Arial"/>
          <w:sz w:val="20"/>
          <w:szCs w:val="20"/>
        </w:rPr>
        <w:t xml:space="preserve"> </w:t>
      </w:r>
      <w:r>
        <w:rPr>
          <w:rFonts w:ascii="Arial" w:eastAsia="Arial" w:hAnsi="Arial" w:cs="Arial"/>
          <w:color w:val="444746"/>
          <w:sz w:val="21"/>
          <w:szCs w:val="21"/>
        </w:rPr>
        <w:t xml:space="preserve">The evaluation criteria of the Home Performance Assessment involves providing a prioritized list of recommended improvements based on: 1) resolving health and safety issues; 2) satisfying customer needs and desires; 3) overall cost-benefit to the customer; and 4) programmatic goals. See </w:t>
      </w:r>
      <w:hyperlink r:id="rId1">
        <w:r>
          <w:rPr>
            <w:rFonts w:ascii="Arial" w:eastAsia="Arial" w:hAnsi="Arial" w:cs="Arial"/>
            <w:color w:val="0B57D0"/>
            <w:sz w:val="21"/>
            <w:szCs w:val="21"/>
            <w:u w:val="single"/>
          </w:rPr>
          <w:t>https://www.energystar.gov/saveathome/improvements/how-it-works/home-performance-assessment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43D9" w14:textId="77777777" w:rsidR="00B70697" w:rsidRDefault="00312B5F">
    <w:pPr>
      <w:pBdr>
        <w:top w:val="nil"/>
        <w:left w:val="nil"/>
        <w:bottom w:val="nil"/>
        <w:right w:val="nil"/>
        <w:between w:val="nil"/>
      </w:pBdr>
      <w:tabs>
        <w:tab w:val="center" w:pos="4680"/>
        <w:tab w:val="right" w:pos="9360"/>
      </w:tabs>
      <w:rPr>
        <w:color w:val="000000"/>
      </w:rPr>
    </w:pPr>
    <w:r>
      <w:rPr>
        <w:color w:val="000000"/>
      </w:rPr>
      <w:pict w14:anchorId="5A3B5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1.95pt;height:791.9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36F6" w14:textId="77777777" w:rsidR="00B70697" w:rsidRDefault="00312B5F">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4144" behindDoc="1" locked="0" layoutInCell="1" hidden="0" allowOverlap="1" wp14:anchorId="31F3A53E" wp14:editId="6B16FE35">
          <wp:simplePos x="0" y="0"/>
          <wp:positionH relativeFrom="column">
            <wp:posOffset>-685798</wp:posOffset>
          </wp:positionH>
          <wp:positionV relativeFrom="paragraph">
            <wp:posOffset>0</wp:posOffset>
          </wp:positionV>
          <wp:extent cx="8396967" cy="881481"/>
          <wp:effectExtent l="0" t="0" r="0" b="0"/>
          <wp:wrapNone/>
          <wp:docPr id="1858586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6756"/>
                  <a:stretch>
                    <a:fillRect/>
                  </a:stretch>
                </pic:blipFill>
                <pic:spPr>
                  <a:xfrm>
                    <a:off x="0" y="0"/>
                    <a:ext cx="8396967" cy="881481"/>
                  </a:xfrm>
                  <a:prstGeom prst="rect">
                    <a:avLst/>
                  </a:prstGeom>
                  <a:ln/>
                </pic:spPr>
              </pic:pic>
            </a:graphicData>
          </a:graphic>
        </wp:anchor>
      </w:drawing>
    </w:r>
    <w:r>
      <w:rPr>
        <w:noProof/>
      </w:rPr>
      <w:drawing>
        <wp:anchor distT="114300" distB="114300" distL="114300" distR="114300" simplePos="0" relativeHeight="251655168" behindDoc="0" locked="0" layoutInCell="1" hidden="0" allowOverlap="1" wp14:anchorId="6C232A6B" wp14:editId="1C1F2BC2">
          <wp:simplePos x="0" y="0"/>
          <wp:positionH relativeFrom="column">
            <wp:posOffset>4619625</wp:posOffset>
          </wp:positionH>
          <wp:positionV relativeFrom="paragraph">
            <wp:posOffset>176213</wp:posOffset>
          </wp:positionV>
          <wp:extent cx="1852897" cy="532156"/>
          <wp:effectExtent l="0" t="0" r="0" b="0"/>
          <wp:wrapNone/>
          <wp:docPr id="18585869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52897" cy="53215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9BE5" w14:textId="77777777" w:rsidR="00B70697" w:rsidRDefault="00312B5F">
    <w:pPr>
      <w:pBdr>
        <w:top w:val="nil"/>
        <w:left w:val="nil"/>
        <w:bottom w:val="nil"/>
        <w:right w:val="nil"/>
        <w:between w:val="nil"/>
      </w:pBdr>
      <w:tabs>
        <w:tab w:val="center" w:pos="4680"/>
        <w:tab w:val="right" w:pos="9360"/>
      </w:tabs>
      <w:rPr>
        <w:color w:val="000000"/>
      </w:rPr>
    </w:pPr>
    <w:r>
      <w:rPr>
        <w:color w:val="000000"/>
      </w:rPr>
      <w:pict w14:anchorId="72DE5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1.95pt;height:791.95pt;z-index:-251656192;mso-position-horizontal:center;mso-position-horizontal-relative:margin;mso-position-vertical:center;mso-position-vertical-relative:margin">
          <v:imagedata r:id="rId1" o:title="image1"/>
          <w10:wrap anchorx="margin" anchory="margin"/>
        </v:shape>
      </w:pict>
    </w:r>
    <w:r>
      <w:rPr>
        <w:noProof/>
      </w:rPr>
      <mc:AlternateContent>
        <mc:Choice Requires="wps">
          <w:drawing>
            <wp:anchor distT="0" distB="0" distL="114300" distR="114300" simplePos="0" relativeHeight="251656192" behindDoc="0" locked="0" layoutInCell="1" hidden="0" allowOverlap="1" wp14:anchorId="580A7F5D" wp14:editId="25C5001C">
              <wp:simplePos x="0" y="0"/>
              <wp:positionH relativeFrom="column">
                <wp:posOffset>1705293</wp:posOffset>
              </wp:positionH>
              <wp:positionV relativeFrom="paragraph">
                <wp:posOffset>329248</wp:posOffset>
              </wp:positionV>
              <wp:extent cx="5240655" cy="352425"/>
              <wp:effectExtent l="0" t="0" r="0" b="0"/>
              <wp:wrapNone/>
              <wp:docPr id="1858586967" name="Rectangle 1858586967"/>
              <wp:cNvGraphicFramePr/>
              <a:graphic xmlns:a="http://schemas.openxmlformats.org/drawingml/2006/main">
                <a:graphicData uri="http://schemas.microsoft.com/office/word/2010/wordprocessingShape">
                  <wps:wsp>
                    <wps:cNvSpPr/>
                    <wps:spPr>
                      <a:xfrm>
                        <a:off x="2730435" y="3608550"/>
                        <a:ext cx="5231130" cy="342900"/>
                      </a:xfrm>
                      <a:prstGeom prst="rect">
                        <a:avLst/>
                      </a:prstGeom>
                      <a:noFill/>
                      <a:ln>
                        <a:noFill/>
                      </a:ln>
                    </wps:spPr>
                    <wps:txbx>
                      <w:txbxContent>
                        <w:p w14:paraId="2826F44D" w14:textId="77777777" w:rsidR="00B70697" w:rsidRDefault="00312B5F">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7976EE42" w14:textId="77777777" w:rsidR="00B70697" w:rsidRDefault="00B70697">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80A7F5D" id="Rectangle 1858586967" o:spid="_x0000_s1026" style="position:absolute;margin-left:134.3pt;margin-top:25.95pt;width:412.65pt;height:27.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" filled="f" stroked="f">
              <v:textbox inset="2.53958mm,1.2694mm,2.53958mm,1.2694mm">
                <w:txbxContent>
                  <w:p w14:paraId="2826F44D" w14:textId="77777777" w:rsidR="00B70697" w:rsidRDefault="00312B5F">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7976EE42" w14:textId="77777777" w:rsidR="00B70697" w:rsidRDefault="00B70697">
                    <w:pPr>
                      <w:spacing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EAC0" w14:textId="77777777" w:rsidR="00B70697" w:rsidRDefault="00312B5F">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7216" behindDoc="1" locked="0" layoutInCell="1" hidden="0" allowOverlap="1" wp14:anchorId="11A1E62D" wp14:editId="0B080213">
          <wp:simplePos x="0" y="0"/>
          <wp:positionH relativeFrom="column">
            <wp:posOffset>-140969</wp:posOffset>
          </wp:positionH>
          <wp:positionV relativeFrom="paragraph">
            <wp:posOffset>143690</wp:posOffset>
          </wp:positionV>
          <wp:extent cx="2155371" cy="586189"/>
          <wp:effectExtent l="0" t="0" r="0" b="0"/>
          <wp:wrapNone/>
          <wp:docPr id="1858586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5371" cy="586189"/>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4D444F72" wp14:editId="50A89943">
              <wp:simplePos x="0" y="0"/>
              <wp:positionH relativeFrom="column">
                <wp:posOffset>-6531</wp:posOffset>
              </wp:positionH>
              <wp:positionV relativeFrom="paragraph">
                <wp:posOffset>783953</wp:posOffset>
              </wp:positionV>
              <wp:extent cx="0" cy="12700"/>
              <wp:effectExtent l="0" t="0" r="0" b="0"/>
              <wp:wrapNone/>
              <wp:docPr id="1858586965" name="Straight Arrow Connector 1858586965"/>
              <wp:cNvGraphicFramePr/>
              <a:graphic xmlns:a="http://schemas.openxmlformats.org/drawingml/2006/main">
                <a:graphicData uri="http://schemas.microsoft.com/office/word/2010/wordprocessingShape">
                  <wps:wsp>
                    <wps:cNvCnPr/>
                    <wps:spPr>
                      <a:xfrm>
                        <a:off x="2292558" y="3780000"/>
                        <a:ext cx="6106885" cy="0"/>
                      </a:xfrm>
                      <a:prstGeom prst="straightConnector1">
                        <a:avLst/>
                      </a:prstGeom>
                      <a:noFill/>
                      <a:ln w="9525" cap="flat" cmpd="sng">
                        <a:solidFill>
                          <a:schemeClr val="dk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-6531</wp:posOffset>
              </wp:positionH>
              <wp:positionV relativeFrom="paragraph">
                <wp:posOffset>783953</wp:posOffset>
              </wp:positionV>
              <wp:extent cx="0" cy="12700"/>
              <wp:effectExtent b="0" l="0" r="0" t="0"/>
              <wp:wrapNone/>
              <wp:docPr id="185858696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6F0C78CD" wp14:editId="4C834C07">
              <wp:simplePos x="0" y="0"/>
              <wp:positionH relativeFrom="column">
                <wp:posOffset>4357960</wp:posOffset>
              </wp:positionH>
              <wp:positionV relativeFrom="paragraph">
                <wp:posOffset>425768</wp:posOffset>
              </wp:positionV>
              <wp:extent cx="1432651" cy="218440"/>
              <wp:effectExtent l="0" t="0" r="0" b="0"/>
              <wp:wrapNone/>
              <wp:docPr id="1858586966" name="Rectangle 1858586966"/>
              <wp:cNvGraphicFramePr/>
              <a:graphic xmlns:a="http://schemas.openxmlformats.org/drawingml/2006/main">
                <a:graphicData uri="http://schemas.microsoft.com/office/word/2010/wordprocessingShape">
                  <wps:wsp>
                    <wps:cNvSpPr/>
                    <wps:spPr>
                      <a:xfrm>
                        <a:off x="4634437" y="3675543"/>
                        <a:ext cx="1423126" cy="208915"/>
                      </a:xfrm>
                      <a:prstGeom prst="rect">
                        <a:avLst/>
                      </a:prstGeom>
                      <a:noFill/>
                      <a:ln>
                        <a:noFill/>
                      </a:ln>
                    </wps:spPr>
                    <wps:txbx>
                      <w:txbxContent>
                        <w:p w14:paraId="1573328C" w14:textId="77777777" w:rsidR="00B70697" w:rsidRDefault="00B70697">
                          <w:pPr>
                            <w:spacing w:line="273"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F0C78CD" id="Rectangle 1858586966" o:spid="_x0000_s1027" style="position:absolute;margin-left:343.15pt;margin-top:33.55pt;width:112.8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" filled="f" stroked="f">
              <v:textbox inset="2.53958mm,1.2694mm,2.53958mm,1.2694mm">
                <w:txbxContent>
                  <w:p w14:paraId="1573328C" w14:textId="77777777" w:rsidR="00B70697" w:rsidRDefault="00B70697">
                    <w:pPr>
                      <w:spacing w:line="273" w:lineRule="auto"/>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4585"/>
    <w:multiLevelType w:val="multilevel"/>
    <w:tmpl w:val="97BEBFC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D514BD"/>
    <w:multiLevelType w:val="multilevel"/>
    <w:tmpl w:val="B48CF3DE"/>
    <w:lvl w:ilvl="0">
      <w:start w:val="1"/>
      <w:numFmt w:val="decimal"/>
      <w:lvlText w:val="%1)"/>
      <w:lvlJc w:val="left"/>
      <w:pPr>
        <w:ind w:left="0" w:firstLine="0"/>
      </w:pPr>
      <w:rPr>
        <w:rFonts w:ascii="Cambria" w:eastAsia="Cambria" w:hAnsi="Cambria" w:cs="Cambria"/>
        <w:b w:val="0"/>
        <w:bCs w:val="0"/>
        <w:i w:val="0"/>
        <w:iCs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18"/>
        <w:szCs w:val="18"/>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18"/>
        <w:szCs w:val="18"/>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18"/>
        <w:szCs w:val="18"/>
        <w:u w:val="none"/>
        <w:shd w:val="clear" w:color="auto" w:fill="auto"/>
        <w:vertAlign w:val="baseline"/>
      </w:rPr>
    </w:lvl>
  </w:abstractNum>
  <w:abstractNum w:abstractNumId="2" w15:restartNumberingAfterBreak="0">
    <w:nsid w:val="129D43C2"/>
    <w:multiLevelType w:val="multilevel"/>
    <w:tmpl w:val="3D1834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7624B1"/>
    <w:multiLevelType w:val="multilevel"/>
    <w:tmpl w:val="9D0EAC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3C96950"/>
    <w:multiLevelType w:val="multilevel"/>
    <w:tmpl w:val="EF5EB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271D70"/>
    <w:multiLevelType w:val="multilevel"/>
    <w:tmpl w:val="F568443E"/>
    <w:lvl w:ilvl="0">
      <w:start w:val="1"/>
      <w:numFmt w:val="bullet"/>
      <w:pStyle w:val="SmallListPar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392F0D"/>
    <w:multiLevelType w:val="multilevel"/>
    <w:tmpl w:val="914CA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5594C67"/>
    <w:multiLevelType w:val="multilevel"/>
    <w:tmpl w:val="AB601E24"/>
    <w:lvl w:ilvl="0">
      <w:start w:val="1"/>
      <w:numFmt w:val="bullet"/>
      <w:lvlText w:val="●"/>
      <w:lvlJc w:val="left"/>
      <w:pPr>
        <w:ind w:left="360" w:hanging="360"/>
      </w:pPr>
      <w:rPr>
        <w:rFonts w:ascii="Arial" w:eastAsia="Arial" w:hAnsi="Arial" w:cs="Arial"/>
        <w:b w:val="0"/>
        <w:bCs w:val="0"/>
        <w:sz w:val="12"/>
        <w:szCs w:val="1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AD06C28"/>
    <w:multiLevelType w:val="multilevel"/>
    <w:tmpl w:val="1CAEB6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2E5090B"/>
    <w:multiLevelType w:val="multilevel"/>
    <w:tmpl w:val="3CC2370C"/>
    <w:lvl w:ilvl="0">
      <w:start w:val="1"/>
      <w:numFmt w:val="bullet"/>
      <w:pStyle w:val="ListParagraph"/>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352552">
    <w:abstractNumId w:val="6"/>
  </w:num>
  <w:num w:numId="2" w16cid:durableId="307172182">
    <w:abstractNumId w:val="0"/>
  </w:num>
  <w:num w:numId="3" w16cid:durableId="341133091">
    <w:abstractNumId w:val="8"/>
  </w:num>
  <w:num w:numId="4" w16cid:durableId="1726835215">
    <w:abstractNumId w:val="9"/>
  </w:num>
  <w:num w:numId="5" w16cid:durableId="922566991">
    <w:abstractNumId w:val="5"/>
  </w:num>
  <w:num w:numId="6" w16cid:durableId="1393969937">
    <w:abstractNumId w:val="3"/>
  </w:num>
  <w:num w:numId="7" w16cid:durableId="221796912">
    <w:abstractNumId w:val="2"/>
  </w:num>
  <w:num w:numId="8" w16cid:durableId="389156596">
    <w:abstractNumId w:val="4"/>
  </w:num>
  <w:num w:numId="9" w16cid:durableId="1301231953">
    <w:abstractNumId w:val="7"/>
  </w:num>
  <w:num w:numId="10" w16cid:durableId="1055010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697"/>
    <w:rsid w:val="00106FC9"/>
    <w:rsid w:val="00312B5F"/>
    <w:rsid w:val="004F4D87"/>
    <w:rsid w:val="00B70697"/>
    <w:rsid w:val="00EC4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DB8E21"/>
  <w15:docId w15:val="{FD444184-C821-4BD4-AD19-18CDB175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20"/>
      <w:outlineLvl w:val="0"/>
    </w:pPr>
    <w:rPr>
      <w:rFonts w:ascii="Arial" w:eastAsia="Arial" w:hAnsi="Arial" w:cs="Arial"/>
      <w:color w:val="177CA3"/>
      <w:sz w:val="48"/>
      <w:szCs w:val="48"/>
    </w:rPr>
  </w:style>
  <w:style w:type="paragraph" w:styleId="Heading2">
    <w:name w:val="heading 2"/>
    <w:basedOn w:val="Normal"/>
    <w:next w:val="Normal"/>
    <w:link w:val="Heading2Char"/>
    <w:uiPriority w:val="9"/>
    <w:unhideWhenUsed/>
    <w:qFormat/>
    <w:pPr>
      <w:spacing w:before="240" w:after="120" w:line="240" w:lineRule="auto"/>
      <w:outlineLvl w:val="1"/>
    </w:pPr>
    <w:rPr>
      <w:rFonts w:ascii="Arial" w:eastAsia="Arial" w:hAnsi="Arial" w:cs="Arial"/>
      <w:color w:val="177CA3"/>
      <w:sz w:val="32"/>
      <w:szCs w:val="32"/>
    </w:rPr>
  </w:style>
  <w:style w:type="paragraph" w:styleId="Heading3">
    <w:name w:val="heading 3"/>
    <w:basedOn w:val="Normal"/>
    <w:next w:val="Normal"/>
    <w:link w:val="Heading3Char"/>
    <w:uiPriority w:val="9"/>
    <w:semiHidden/>
    <w:unhideWhenUsed/>
    <w:qFormat/>
    <w:pPr>
      <w:spacing w:before="120" w:after="120"/>
      <w:outlineLvl w:val="2"/>
    </w:pPr>
    <w:rPr>
      <w:rFonts w:ascii="Arial" w:eastAsia="Arial" w:hAnsi="Arial" w:cs="Arial"/>
      <w:i/>
      <w:iCs/>
      <w:color w:val="177CA3"/>
      <w:sz w:val="24"/>
      <w:szCs w:val="24"/>
    </w:rPr>
  </w:style>
  <w:style w:type="paragraph" w:styleId="Heading4">
    <w:name w:val="heading 4"/>
    <w:basedOn w:val="Normal"/>
    <w:next w:val="Normal"/>
    <w:link w:val="Heading4Char"/>
    <w:uiPriority w:val="9"/>
    <w:semiHidden/>
    <w:unhideWhenUsed/>
    <w:qFormat/>
    <w:pPr>
      <w:keepNext/>
      <w:keepLines/>
      <w:spacing w:before="200" w:after="80"/>
      <w:outlineLvl w:val="3"/>
    </w:pPr>
    <w:rPr>
      <w:rFonts w:ascii="Arial" w:eastAsia="Arial" w:hAnsi="Arial" w:cs="Arial"/>
      <w:color w:val="177CA3"/>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B0510E"/>
    <w:rPr>
      <w:color w:val="177CA3" w:themeColor="background2"/>
      <w:sz w:val="48"/>
    </w:rPr>
  </w:style>
  <w:style w:type="character" w:customStyle="1" w:styleId="Heading2Char">
    <w:name w:val="Heading 2 Char"/>
    <w:basedOn w:val="DefaultParagraphFont"/>
    <w:link w:val="Heading2"/>
    <w:uiPriority w:val="9"/>
    <w:rsid w:val="00B0510E"/>
    <w:rPr>
      <w:color w:val="177CA3" w:themeColor="background2"/>
      <w:sz w:val="32"/>
    </w:rPr>
  </w:style>
  <w:style w:type="character" w:customStyle="1" w:styleId="Heading3Char">
    <w:name w:val="Heading 3 Char"/>
    <w:basedOn w:val="DefaultParagraphFont"/>
    <w:link w:val="Heading3"/>
    <w:uiPriority w:val="9"/>
    <w:rsid w:val="00B0510E"/>
    <w:rPr>
      <w:i/>
      <w:color w:val="177CA3" w:themeColor="background2"/>
      <w:sz w:val="24"/>
    </w:rPr>
  </w:style>
  <w:style w:type="paragraph" w:customStyle="1" w:styleId="Textbox">
    <w:name w:val="Text box"/>
    <w:basedOn w:val="Heading2"/>
    <w:link w:val="TextboxChar"/>
    <w:qFormat/>
    <w:rsid w:val="00B0510E"/>
    <w:pPr>
      <w:spacing w:before="0"/>
      <w:ind w:right="90"/>
      <w:jc w:val="both"/>
    </w:pPr>
    <w:rPr>
      <w:color w:val="00303C" w:themeColor="text2"/>
      <w:sz w:val="22"/>
    </w:rPr>
  </w:style>
  <w:style w:type="paragraph" w:customStyle="1" w:styleId="FooterTextBox">
    <w:name w:val="Footer Text Box"/>
    <w:basedOn w:val="Normal"/>
    <w:link w:val="FooterTextBoxChar"/>
    <w:qFormat/>
    <w:rsid w:val="00723EFC"/>
    <w:pPr>
      <w:jc w:val="both"/>
    </w:pPr>
    <w:rPr>
      <w:rFonts w:asciiTheme="minorHAnsi" w:hAnsiTheme="minorHAnsi"/>
      <w:sz w:val="20"/>
    </w:rPr>
  </w:style>
  <w:style w:type="character" w:customStyle="1" w:styleId="TextboxChar">
    <w:name w:val="Text box Char"/>
    <w:basedOn w:val="DefaultParagraphFont"/>
    <w:link w:val="Textbox"/>
    <w:rsid w:val="00B0510E"/>
    <w:rPr>
      <w:color w:val="00303C" w:themeColor="text2"/>
    </w:rPr>
  </w:style>
  <w:style w:type="paragraph" w:styleId="Header">
    <w:name w:val="header"/>
    <w:basedOn w:val="Normal"/>
    <w:link w:val="HeaderChar"/>
    <w:uiPriority w:val="99"/>
    <w:unhideWhenUsed/>
    <w:rsid w:val="00723EFC"/>
    <w:pPr>
      <w:tabs>
        <w:tab w:val="center" w:pos="4680"/>
        <w:tab w:val="right" w:pos="9360"/>
      </w:tabs>
    </w:pPr>
  </w:style>
  <w:style w:type="character" w:customStyle="1" w:styleId="FooterTextBoxChar">
    <w:name w:val="Footer Text Box Char"/>
    <w:basedOn w:val="DefaultParagraphFont"/>
    <w:link w:val="FooterTextBox"/>
    <w:rsid w:val="00723EFC"/>
    <w:rPr>
      <w:sz w:val="20"/>
    </w:rPr>
  </w:style>
  <w:style w:type="character" w:customStyle="1" w:styleId="HeaderChar">
    <w:name w:val="Header Char"/>
    <w:basedOn w:val="DefaultParagraphFont"/>
    <w:link w:val="Header"/>
    <w:uiPriority w:val="99"/>
    <w:rsid w:val="00723EFC"/>
    <w:rPr>
      <w:rFonts w:asciiTheme="majorHAnsi" w:hAnsiTheme="majorHAnsi"/>
    </w:rPr>
  </w:style>
  <w:style w:type="paragraph" w:styleId="Footer">
    <w:name w:val="footer"/>
    <w:basedOn w:val="Normal"/>
    <w:link w:val="FooterChar"/>
    <w:uiPriority w:val="99"/>
    <w:unhideWhenUsed/>
    <w:rsid w:val="00723EFC"/>
    <w:pPr>
      <w:tabs>
        <w:tab w:val="center" w:pos="4680"/>
        <w:tab w:val="right" w:pos="9360"/>
      </w:tabs>
    </w:pPr>
  </w:style>
  <w:style w:type="character" w:customStyle="1" w:styleId="FooterChar">
    <w:name w:val="Footer Char"/>
    <w:basedOn w:val="DefaultParagraphFont"/>
    <w:link w:val="Footer"/>
    <w:uiPriority w:val="99"/>
    <w:rsid w:val="00723EFC"/>
    <w:rPr>
      <w:rFonts w:asciiTheme="majorHAnsi" w:hAnsiTheme="majorHAnsi"/>
    </w:rPr>
  </w:style>
  <w:style w:type="character" w:styleId="Hyperlink">
    <w:name w:val="Hyperlink"/>
    <w:basedOn w:val="DefaultParagraphFont"/>
    <w:uiPriority w:val="99"/>
    <w:unhideWhenUsed/>
    <w:rsid w:val="006D1BFA"/>
    <w:rPr>
      <w:color w:val="0000FF"/>
      <w:u w:val="single"/>
    </w:rPr>
  </w:style>
  <w:style w:type="paragraph" w:customStyle="1" w:styleId="IntroText">
    <w:name w:val="Intro Text"/>
    <w:basedOn w:val="Normal"/>
    <w:qFormat/>
    <w:rsid w:val="006D1BFA"/>
    <w:pPr>
      <w:spacing w:after="240" w:line="280" w:lineRule="exact"/>
    </w:pPr>
    <w:rPr>
      <w:rFonts w:ascii="Arial Narrow" w:hAnsi="Arial Narrow"/>
      <w:color w:val="1F497D"/>
    </w:rPr>
  </w:style>
  <w:style w:type="paragraph" w:styleId="BalloonText">
    <w:name w:val="Balloon Text"/>
    <w:basedOn w:val="Normal"/>
    <w:link w:val="BalloonTextChar"/>
    <w:uiPriority w:val="99"/>
    <w:semiHidden/>
    <w:unhideWhenUsed/>
    <w:rsid w:val="00E86159"/>
    <w:rPr>
      <w:rFonts w:ascii="Tahoma" w:hAnsi="Tahoma" w:cs="Tahoma"/>
      <w:sz w:val="16"/>
      <w:szCs w:val="16"/>
    </w:rPr>
  </w:style>
  <w:style w:type="character" w:customStyle="1" w:styleId="BalloonTextChar">
    <w:name w:val="Balloon Text Char"/>
    <w:basedOn w:val="DefaultParagraphFont"/>
    <w:link w:val="BalloonText"/>
    <w:uiPriority w:val="99"/>
    <w:semiHidden/>
    <w:rsid w:val="00E86159"/>
    <w:rPr>
      <w:rFonts w:ascii="Tahoma" w:hAnsi="Tahoma" w:cs="Tahoma"/>
      <w:sz w:val="16"/>
      <w:szCs w:val="16"/>
    </w:rPr>
  </w:style>
  <w:style w:type="paragraph" w:styleId="ListParagraph">
    <w:name w:val="List Paragraph"/>
    <w:basedOn w:val="Normal"/>
    <w:link w:val="ListParagraphChar"/>
    <w:uiPriority w:val="34"/>
    <w:qFormat/>
    <w:rsid w:val="001D57A1"/>
    <w:pPr>
      <w:numPr>
        <w:numId w:val="4"/>
      </w:numPr>
      <w:spacing w:before="120" w:line="276" w:lineRule="auto"/>
    </w:pPr>
  </w:style>
  <w:style w:type="paragraph" w:styleId="FootnoteText">
    <w:name w:val="footnote text"/>
    <w:basedOn w:val="Normal"/>
    <w:link w:val="FootnoteTextChar"/>
    <w:uiPriority w:val="99"/>
    <w:unhideWhenUsed/>
    <w:qFormat/>
    <w:rsid w:val="00F17374"/>
    <w:pPr>
      <w:spacing w:line="240" w:lineRule="auto"/>
    </w:pPr>
    <w:rPr>
      <w:rFonts w:asciiTheme="minorHAnsi" w:hAnsiTheme="minorHAnsi"/>
      <w:sz w:val="18"/>
      <w:szCs w:val="18"/>
    </w:rPr>
  </w:style>
  <w:style w:type="character" w:customStyle="1" w:styleId="FootnoteTextChar">
    <w:name w:val="Footnote Text Char"/>
    <w:basedOn w:val="DefaultParagraphFont"/>
    <w:link w:val="FootnoteText"/>
    <w:uiPriority w:val="99"/>
    <w:rsid w:val="00F17374"/>
    <w:rPr>
      <w:sz w:val="18"/>
      <w:szCs w:val="18"/>
    </w:rPr>
  </w:style>
  <w:style w:type="character" w:styleId="FootnoteReference">
    <w:name w:val="footnote reference"/>
    <w:basedOn w:val="DefaultParagraphFont"/>
    <w:uiPriority w:val="99"/>
    <w:unhideWhenUsed/>
    <w:rsid w:val="00394AB4"/>
    <w:rPr>
      <w:vertAlign w:val="superscript"/>
    </w:rPr>
  </w:style>
  <w:style w:type="paragraph" w:styleId="NormalWeb">
    <w:name w:val="Normal (Web)"/>
    <w:basedOn w:val="Normal"/>
    <w:uiPriority w:val="99"/>
    <w:unhideWhenUsed/>
    <w:rsid w:val="006B6A9C"/>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133DD"/>
    <w:rPr>
      <w:sz w:val="16"/>
      <w:szCs w:val="16"/>
    </w:rPr>
  </w:style>
  <w:style w:type="paragraph" w:styleId="CommentText">
    <w:name w:val="annotation text"/>
    <w:basedOn w:val="Normal"/>
    <w:link w:val="CommentTextChar"/>
    <w:uiPriority w:val="99"/>
    <w:unhideWhenUsed/>
    <w:rsid w:val="002133D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133DD"/>
    <w:rPr>
      <w:sz w:val="20"/>
      <w:szCs w:val="20"/>
    </w:rPr>
  </w:style>
  <w:style w:type="table" w:styleId="TableGrid">
    <w:name w:val="Table Grid"/>
    <w:basedOn w:val="TableNormal"/>
    <w:uiPriority w:val="39"/>
    <w:rsid w:val="00E7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istPara">
    <w:name w:val="Small List Para"/>
    <w:basedOn w:val="ListParagraph"/>
    <w:link w:val="SmallListParaChar"/>
    <w:qFormat/>
    <w:rsid w:val="00937A1F"/>
    <w:pPr>
      <w:numPr>
        <w:numId w:val="5"/>
      </w:numPr>
      <w:spacing w:line="240" w:lineRule="auto"/>
      <w:ind w:hanging="274"/>
    </w:pPr>
    <w:rPr>
      <w:rFonts w:asciiTheme="minorHAnsi" w:hAnsiTheme="minorHAnsi"/>
      <w:sz w:val="21"/>
      <w:szCs w:val="21"/>
    </w:rPr>
  </w:style>
  <w:style w:type="character" w:customStyle="1" w:styleId="ListParagraphChar">
    <w:name w:val="List Paragraph Char"/>
    <w:basedOn w:val="DefaultParagraphFont"/>
    <w:link w:val="ListParagraph"/>
    <w:uiPriority w:val="34"/>
    <w:rsid w:val="001D57A1"/>
    <w:rPr>
      <w:rFonts w:ascii="Cambria" w:hAnsi="Cambria"/>
    </w:rPr>
  </w:style>
  <w:style w:type="character" w:customStyle="1" w:styleId="SmallListParaChar">
    <w:name w:val="Small List Para Char"/>
    <w:basedOn w:val="ListParagraphChar"/>
    <w:link w:val="SmallListPara"/>
    <w:rsid w:val="00937A1F"/>
    <w:rPr>
      <w:rFonts w:asciiTheme="majorHAnsi" w:hAnsiTheme="majorHAnsi"/>
      <w:sz w:val="21"/>
      <w:szCs w:val="21"/>
    </w:rPr>
  </w:style>
  <w:style w:type="paragraph" w:customStyle="1" w:styleId="TableCaption">
    <w:name w:val="Table Caption"/>
    <w:basedOn w:val="Normal"/>
    <w:link w:val="TableCaptionChar"/>
    <w:qFormat/>
    <w:rsid w:val="00735F63"/>
    <w:pPr>
      <w:spacing w:before="240" w:after="60" w:line="240" w:lineRule="auto"/>
    </w:pPr>
    <w:rPr>
      <w:rFonts w:asciiTheme="minorHAnsi" w:hAnsiTheme="minorHAnsi"/>
      <w:b/>
      <w:sz w:val="20"/>
    </w:rPr>
  </w:style>
  <w:style w:type="paragraph" w:customStyle="1" w:styleId="References">
    <w:name w:val="References"/>
    <w:basedOn w:val="Normal"/>
    <w:link w:val="ReferencesChar"/>
    <w:qFormat/>
    <w:rsid w:val="001D57A1"/>
    <w:pPr>
      <w:spacing w:after="120"/>
      <w:ind w:left="540" w:hanging="540"/>
    </w:pPr>
    <w:rPr>
      <w:sz w:val="20"/>
    </w:rPr>
  </w:style>
  <w:style w:type="character" w:customStyle="1" w:styleId="TableCaptionChar">
    <w:name w:val="Table Caption Char"/>
    <w:basedOn w:val="DefaultParagraphFont"/>
    <w:link w:val="TableCaption"/>
    <w:rsid w:val="00735F63"/>
    <w:rPr>
      <w:b/>
      <w:sz w:val="20"/>
    </w:rPr>
  </w:style>
  <w:style w:type="paragraph" w:customStyle="1" w:styleId="DisclaimerText">
    <w:name w:val="Disclaimer Text"/>
    <w:basedOn w:val="Normal"/>
    <w:link w:val="DisclaimerTextChar"/>
    <w:qFormat/>
    <w:rsid w:val="00F17374"/>
    <w:pPr>
      <w:spacing w:line="240" w:lineRule="auto"/>
      <w:jc w:val="both"/>
    </w:pPr>
    <w:rPr>
      <w:rFonts w:asciiTheme="minorHAnsi" w:hAnsiTheme="minorHAnsi" w:cs="Arial"/>
      <w:sz w:val="18"/>
      <w:szCs w:val="20"/>
    </w:rPr>
  </w:style>
  <w:style w:type="character" w:customStyle="1" w:styleId="ReferencesChar">
    <w:name w:val="References Char"/>
    <w:basedOn w:val="DefaultParagraphFont"/>
    <w:link w:val="References"/>
    <w:rsid w:val="001D57A1"/>
    <w:rPr>
      <w:rFonts w:ascii="Cambria" w:hAnsi="Cambria"/>
      <w:sz w:val="20"/>
    </w:rPr>
  </w:style>
  <w:style w:type="character" w:customStyle="1" w:styleId="DisclaimerTextChar">
    <w:name w:val="Disclaimer Text Char"/>
    <w:basedOn w:val="DefaultParagraphFont"/>
    <w:link w:val="DisclaimerText"/>
    <w:rsid w:val="00F17374"/>
    <w:rPr>
      <w:rFonts w:cs="Arial"/>
      <w:sz w:val="18"/>
      <w:szCs w:val="20"/>
    </w:rPr>
  </w:style>
  <w:style w:type="character" w:customStyle="1" w:styleId="SubtitleChar">
    <w:name w:val="Subtitle Char"/>
    <w:basedOn w:val="DefaultParagraphFont"/>
    <w:link w:val="Subtitle"/>
    <w:uiPriority w:val="11"/>
    <w:rsid w:val="00F17374"/>
    <w:rPr>
      <w:color w:val="C68804" w:themeColor="accent1" w:themeShade="BF"/>
      <w:sz w:val="36"/>
    </w:rPr>
  </w:style>
  <w:style w:type="character" w:customStyle="1" w:styleId="Heading4Char">
    <w:name w:val="Heading 4 Char"/>
    <w:basedOn w:val="DefaultParagraphFont"/>
    <w:link w:val="Heading4"/>
    <w:uiPriority w:val="9"/>
    <w:rsid w:val="00B0510E"/>
    <w:rPr>
      <w:rFonts w:eastAsiaTheme="majorEastAsia" w:cstheme="majorBidi"/>
      <w:bCs/>
      <w:iCs/>
      <w:color w:val="177CA3" w:themeColor="background2"/>
    </w:rPr>
  </w:style>
  <w:style w:type="character" w:styleId="IntenseEmphasis">
    <w:name w:val="Intense Emphasis"/>
    <w:basedOn w:val="DefaultParagraphFont"/>
    <w:uiPriority w:val="21"/>
    <w:rsid w:val="00CC2E93"/>
    <w:rPr>
      <w:b/>
      <w:bCs/>
      <w:i/>
      <w:iCs/>
      <w:color w:val="FAB215" w:themeColor="accent1"/>
    </w:rPr>
  </w:style>
  <w:style w:type="paragraph" w:styleId="Caption">
    <w:name w:val="caption"/>
    <w:basedOn w:val="Normal"/>
    <w:next w:val="Normal"/>
    <w:link w:val="CaptionChar"/>
    <w:uiPriority w:val="35"/>
    <w:unhideWhenUsed/>
    <w:qFormat/>
    <w:rsid w:val="00CC2E93"/>
    <w:pPr>
      <w:spacing w:after="200" w:line="240" w:lineRule="auto"/>
    </w:pPr>
    <w:rPr>
      <w:b/>
      <w:bCs/>
      <w:color w:val="FAB215" w:themeColor="accent1"/>
      <w:sz w:val="18"/>
      <w:szCs w:val="18"/>
    </w:rPr>
  </w:style>
  <w:style w:type="paragraph" w:styleId="BodyText">
    <w:name w:val="Body Text"/>
    <w:basedOn w:val="Normal"/>
    <w:link w:val="BodyTextChar"/>
    <w:uiPriority w:val="99"/>
    <w:unhideWhenUsed/>
    <w:qFormat/>
    <w:rsid w:val="004A2DC7"/>
    <w:pPr>
      <w:spacing w:line="276" w:lineRule="auto"/>
      <w:ind w:right="576"/>
    </w:pPr>
  </w:style>
  <w:style w:type="character" w:customStyle="1" w:styleId="BodyTextChar">
    <w:name w:val="Body Text Char"/>
    <w:basedOn w:val="DefaultParagraphFont"/>
    <w:link w:val="BodyText"/>
    <w:uiPriority w:val="99"/>
    <w:rsid w:val="004A2DC7"/>
    <w:rPr>
      <w:rFonts w:ascii="Cambria" w:hAnsi="Cambria"/>
    </w:rPr>
  </w:style>
  <w:style w:type="paragraph" w:customStyle="1" w:styleId="Signaturepage">
    <w:name w:val="Signature page"/>
    <w:basedOn w:val="Normal"/>
    <w:qFormat/>
    <w:rsid w:val="004A4F71"/>
    <w:pPr>
      <w:spacing w:line="276" w:lineRule="auto"/>
      <w:jc w:val="right"/>
    </w:pPr>
    <w:rPr>
      <w:rFonts w:asciiTheme="minorHAnsi" w:hAnsiTheme="minorHAnsi"/>
      <w:b/>
      <w:color w:val="4891CE"/>
      <w:sz w:val="24"/>
    </w:rPr>
  </w:style>
  <w:style w:type="table" w:styleId="MediumGrid1-Accent5">
    <w:name w:val="Medium Grid 1 Accent 5"/>
    <w:basedOn w:val="TableNormal"/>
    <w:rsid w:val="004A4F71"/>
    <w:rPr>
      <w:rFonts w:cs="Times New Roman"/>
      <w:sz w:val="20"/>
      <w:szCs w:val="20"/>
    </w:rPr>
    <w:tblPr>
      <w:tblStyleRowBandSize w:val="1"/>
      <w:tblStyleColBandSize w:val="1"/>
      <w:tblBorders>
        <w:top w:val="single" w:sz="8" w:space="0" w:color="DEA566" w:themeColor="accent5" w:themeTint="BF"/>
        <w:left w:val="single" w:sz="8" w:space="0" w:color="DEA566" w:themeColor="accent5" w:themeTint="BF"/>
        <w:bottom w:val="single" w:sz="8" w:space="0" w:color="DEA566" w:themeColor="accent5" w:themeTint="BF"/>
        <w:right w:val="single" w:sz="8" w:space="0" w:color="DEA566" w:themeColor="accent5" w:themeTint="BF"/>
        <w:insideH w:val="single" w:sz="8" w:space="0" w:color="DEA566" w:themeColor="accent5" w:themeTint="BF"/>
        <w:insideV w:val="single" w:sz="8" w:space="0" w:color="DEA566" w:themeColor="accent5" w:themeTint="BF"/>
      </w:tblBorders>
    </w:tblPr>
    <w:tcPr>
      <w:shd w:val="clear" w:color="auto" w:fill="F4E1CC" w:themeFill="accent5" w:themeFillTint="3F"/>
    </w:tcPr>
    <w:tblStylePr w:type="firstRow">
      <w:rPr>
        <w:b/>
        <w:bCs/>
      </w:rPr>
    </w:tblStylePr>
    <w:tblStylePr w:type="lastRow">
      <w:rPr>
        <w:b/>
        <w:bCs/>
      </w:rPr>
      <w:tblPr/>
      <w:tcPr>
        <w:tcBorders>
          <w:top w:val="single" w:sz="18" w:space="0" w:color="DEA566" w:themeColor="accent5" w:themeTint="BF"/>
        </w:tcBorders>
      </w:tcPr>
    </w:tblStylePr>
    <w:tblStylePr w:type="firstCol">
      <w:rPr>
        <w:b/>
        <w:bCs/>
      </w:rPr>
    </w:tblStylePr>
    <w:tblStylePr w:type="lastCol">
      <w:rPr>
        <w:b/>
        <w:bCs/>
      </w:rPr>
    </w:tblStylePr>
    <w:tblStylePr w:type="band1Vert">
      <w:tblPr/>
      <w:tcPr>
        <w:shd w:val="clear" w:color="auto" w:fill="E9C399" w:themeFill="accent5" w:themeFillTint="7F"/>
      </w:tcPr>
    </w:tblStylePr>
    <w:tblStylePr w:type="band1Horz">
      <w:tblPr/>
      <w:tcPr>
        <w:shd w:val="clear" w:color="auto" w:fill="E9C399" w:themeFill="accent5" w:themeFillTint="7F"/>
      </w:tcPr>
    </w:tblStylePr>
  </w:style>
  <w:style w:type="table" w:styleId="LightList-Accent5">
    <w:name w:val="Light List Accent 5"/>
    <w:basedOn w:val="TableNormal"/>
    <w:uiPriority w:val="61"/>
    <w:rsid w:val="00D559E4"/>
    <w:tblPr>
      <w:tblStyleRowBandSize w:val="1"/>
      <w:tblStyleColBandSize w:val="1"/>
      <w:tblBorders>
        <w:top w:val="single" w:sz="8" w:space="0" w:color="D38834" w:themeColor="accent5"/>
        <w:left w:val="single" w:sz="8" w:space="0" w:color="D38834" w:themeColor="accent5"/>
        <w:bottom w:val="single" w:sz="8" w:space="0" w:color="D38834" w:themeColor="accent5"/>
        <w:right w:val="single" w:sz="8" w:space="0" w:color="D38834" w:themeColor="accent5"/>
      </w:tblBorders>
    </w:tblPr>
    <w:tblStylePr w:type="firstRow">
      <w:pPr>
        <w:spacing w:before="0" w:after="0" w:line="240" w:lineRule="auto"/>
      </w:pPr>
      <w:rPr>
        <w:b/>
        <w:bCs/>
        <w:color w:val="FFFFFF" w:themeColor="background1"/>
      </w:rPr>
      <w:tblPr/>
      <w:tcPr>
        <w:shd w:val="clear" w:color="auto" w:fill="D38834" w:themeFill="accent5"/>
      </w:tcPr>
    </w:tblStylePr>
    <w:tblStylePr w:type="lastRow">
      <w:pPr>
        <w:spacing w:before="0" w:after="0" w:line="240" w:lineRule="auto"/>
      </w:pPr>
      <w:rPr>
        <w:b/>
        <w:bCs/>
      </w:rPr>
      <w:tblPr/>
      <w:tcPr>
        <w:tcBorders>
          <w:top w:val="double" w:sz="6" w:space="0" w:color="D38834" w:themeColor="accent5"/>
          <w:left w:val="single" w:sz="8" w:space="0" w:color="D38834" w:themeColor="accent5"/>
          <w:bottom w:val="single" w:sz="8" w:space="0" w:color="D38834" w:themeColor="accent5"/>
          <w:right w:val="single" w:sz="8" w:space="0" w:color="D38834" w:themeColor="accent5"/>
        </w:tcBorders>
      </w:tcPr>
    </w:tblStylePr>
    <w:tblStylePr w:type="firstCol">
      <w:rPr>
        <w:b/>
        <w:bCs/>
      </w:rPr>
    </w:tblStylePr>
    <w:tblStylePr w:type="lastCol">
      <w:rPr>
        <w:b/>
        <w:bCs/>
      </w:rPr>
    </w:tblStylePr>
    <w:tblStylePr w:type="band1Vert">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tblStylePr w:type="band1Horz">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style>
  <w:style w:type="paragraph" w:styleId="CommentSubject">
    <w:name w:val="annotation subject"/>
    <w:basedOn w:val="CommentText"/>
    <w:next w:val="CommentText"/>
    <w:link w:val="CommentSubjectChar"/>
    <w:uiPriority w:val="99"/>
    <w:semiHidden/>
    <w:unhideWhenUsed/>
    <w:rsid w:val="00587FB7"/>
    <w:pPr>
      <w:spacing w:after="0"/>
    </w:pPr>
    <w:rPr>
      <w:rFonts w:asciiTheme="majorHAnsi" w:hAnsiTheme="majorHAnsi"/>
      <w:b/>
      <w:bCs/>
    </w:rPr>
  </w:style>
  <w:style w:type="character" w:customStyle="1" w:styleId="CommentSubjectChar">
    <w:name w:val="Comment Subject Char"/>
    <w:basedOn w:val="CommentTextChar"/>
    <w:link w:val="CommentSubject"/>
    <w:uiPriority w:val="99"/>
    <w:semiHidden/>
    <w:rsid w:val="00587FB7"/>
    <w:rPr>
      <w:rFonts w:asciiTheme="majorHAnsi" w:hAnsiTheme="majorHAnsi"/>
      <w:b/>
      <w:bCs/>
      <w:sz w:val="20"/>
      <w:szCs w:val="20"/>
    </w:rPr>
  </w:style>
  <w:style w:type="paragraph" w:styleId="DocumentMap">
    <w:name w:val="Document Map"/>
    <w:basedOn w:val="Normal"/>
    <w:link w:val="DocumentMapChar"/>
    <w:uiPriority w:val="99"/>
    <w:semiHidden/>
    <w:unhideWhenUsed/>
    <w:rsid w:val="00B33D0E"/>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3D0E"/>
    <w:rPr>
      <w:rFonts w:ascii="Lucida Grande" w:hAnsi="Lucida Grande" w:cs="Lucida Grande"/>
      <w:sz w:val="24"/>
      <w:szCs w:val="24"/>
    </w:rPr>
  </w:style>
  <w:style w:type="paragraph" w:styleId="Revision">
    <w:name w:val="Revision"/>
    <w:hidden/>
    <w:uiPriority w:val="99"/>
    <w:semiHidden/>
    <w:rsid w:val="005E6E64"/>
    <w:rPr>
      <w:rFonts w:asciiTheme="majorHAnsi" w:hAnsiTheme="majorHAnsi"/>
    </w:rPr>
  </w:style>
  <w:style w:type="paragraph" w:customStyle="1" w:styleId="Authors">
    <w:name w:val="Authors"/>
    <w:basedOn w:val="Heading3"/>
    <w:link w:val="AuthorsChar"/>
    <w:qFormat/>
    <w:rsid w:val="00CA776C"/>
  </w:style>
  <w:style w:type="character" w:customStyle="1" w:styleId="AuthorsChar">
    <w:name w:val="Authors Char"/>
    <w:basedOn w:val="Heading3Char"/>
    <w:link w:val="Authors"/>
    <w:rsid w:val="00CA776C"/>
    <w:rPr>
      <w:i/>
      <w:color w:val="0070C0"/>
      <w:sz w:val="24"/>
    </w:rPr>
  </w:style>
  <w:style w:type="paragraph" w:customStyle="1" w:styleId="SourceCaption">
    <w:name w:val="Source Caption"/>
    <w:basedOn w:val="Caption"/>
    <w:link w:val="SourceCaptionChar"/>
    <w:qFormat/>
    <w:rsid w:val="0046467C"/>
    <w:pPr>
      <w:spacing w:before="60" w:after="240"/>
    </w:pPr>
    <w:rPr>
      <w:rFonts w:asciiTheme="minorHAnsi" w:hAnsiTheme="minorHAnsi"/>
      <w:b w:val="0"/>
      <w:i/>
      <w:color w:val="auto"/>
    </w:rPr>
  </w:style>
  <w:style w:type="character" w:customStyle="1" w:styleId="CaptionChar">
    <w:name w:val="Caption Char"/>
    <w:basedOn w:val="DefaultParagraphFont"/>
    <w:link w:val="Caption"/>
    <w:uiPriority w:val="35"/>
    <w:rsid w:val="0046467C"/>
    <w:rPr>
      <w:rFonts w:asciiTheme="majorHAnsi" w:hAnsiTheme="majorHAnsi"/>
      <w:b/>
      <w:bCs/>
      <w:color w:val="FAB215" w:themeColor="accent1"/>
      <w:sz w:val="18"/>
      <w:szCs w:val="18"/>
    </w:rPr>
  </w:style>
  <w:style w:type="character" w:customStyle="1" w:styleId="SourceCaptionChar">
    <w:name w:val="Source Caption Char"/>
    <w:basedOn w:val="CaptionChar"/>
    <w:link w:val="SourceCaption"/>
    <w:rsid w:val="0046467C"/>
    <w:rPr>
      <w:rFonts w:asciiTheme="majorHAnsi" w:hAnsiTheme="majorHAnsi"/>
      <w:b w:val="0"/>
      <w:bCs/>
      <w:i/>
      <w:color w:val="FAB215" w:themeColor="accent1"/>
      <w:sz w:val="18"/>
      <w:szCs w:val="18"/>
    </w:rPr>
  </w:style>
  <w:style w:type="table" w:styleId="ListTable3-Accent2">
    <w:name w:val="List Table 3 Accent 2"/>
    <w:basedOn w:val="TableNormal"/>
    <w:uiPriority w:val="48"/>
    <w:rsid w:val="00856260"/>
    <w:tblPr>
      <w:tblStyleRowBandSize w:val="1"/>
      <w:tblStyleColBandSize w:val="1"/>
      <w:tblBorders>
        <w:top w:val="single" w:sz="4" w:space="0" w:color="2093C6" w:themeColor="accent2"/>
        <w:left w:val="single" w:sz="4" w:space="0" w:color="2093C6" w:themeColor="accent2"/>
        <w:bottom w:val="single" w:sz="4" w:space="0" w:color="2093C6" w:themeColor="accent2"/>
        <w:right w:val="single" w:sz="4" w:space="0" w:color="2093C6" w:themeColor="accent2"/>
      </w:tblBorders>
    </w:tblPr>
    <w:tblStylePr w:type="firstRow">
      <w:rPr>
        <w:b/>
        <w:bCs/>
        <w:color w:val="FFFFFF" w:themeColor="background1"/>
      </w:rPr>
      <w:tblPr/>
      <w:tcPr>
        <w:shd w:val="clear" w:color="auto" w:fill="2093C6" w:themeFill="accent2"/>
      </w:tcPr>
    </w:tblStylePr>
    <w:tblStylePr w:type="lastRow">
      <w:rPr>
        <w:b/>
        <w:bCs/>
      </w:rPr>
      <w:tblPr/>
      <w:tcPr>
        <w:tcBorders>
          <w:top w:val="double" w:sz="4" w:space="0" w:color="209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93C6" w:themeColor="accent2"/>
          <w:right w:val="single" w:sz="4" w:space="0" w:color="2093C6" w:themeColor="accent2"/>
        </w:tcBorders>
      </w:tcPr>
    </w:tblStylePr>
    <w:tblStylePr w:type="band1Horz">
      <w:tblPr/>
      <w:tcPr>
        <w:tcBorders>
          <w:top w:val="single" w:sz="4" w:space="0" w:color="2093C6" w:themeColor="accent2"/>
          <w:bottom w:val="single" w:sz="4" w:space="0" w:color="209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93C6" w:themeColor="accent2"/>
          <w:left w:val="nil"/>
        </w:tcBorders>
      </w:tcPr>
    </w:tblStylePr>
    <w:tblStylePr w:type="swCell">
      <w:tblPr/>
      <w:tcPr>
        <w:tcBorders>
          <w:top w:val="double" w:sz="4" w:space="0" w:color="2093C6" w:themeColor="accent2"/>
          <w:right w:val="nil"/>
        </w:tcBorders>
      </w:tcPr>
    </w:tblStylePr>
  </w:style>
  <w:style w:type="paragraph" w:styleId="NoSpacing">
    <w:name w:val="No Spacing"/>
    <w:uiPriority w:val="1"/>
    <w:qFormat/>
    <w:rsid w:val="00305637"/>
    <w:rPr>
      <w:kern w:val="2"/>
    </w:rPr>
  </w:style>
  <w:style w:type="character" w:styleId="PageNumber">
    <w:name w:val="page number"/>
    <w:basedOn w:val="DefaultParagraphFont"/>
    <w:uiPriority w:val="99"/>
    <w:semiHidden/>
    <w:unhideWhenUsed/>
    <w:rsid w:val="00925984"/>
  </w:style>
  <w:style w:type="character" w:styleId="UnresolvedMention">
    <w:name w:val="Unresolved Mention"/>
    <w:basedOn w:val="DefaultParagraphFont"/>
    <w:uiPriority w:val="99"/>
    <w:semiHidden/>
    <w:unhideWhenUsed/>
    <w:rsid w:val="004D1DA0"/>
    <w:rPr>
      <w:color w:val="605E5C"/>
      <w:shd w:val="clear" w:color="auto" w:fill="E1DFDD"/>
    </w:rPr>
  </w:style>
  <w:style w:type="paragraph" w:styleId="Subtitle">
    <w:name w:val="Subtitle"/>
    <w:basedOn w:val="Normal"/>
    <w:next w:val="Normal"/>
    <w:link w:val="SubtitleChar"/>
    <w:uiPriority w:val="11"/>
    <w:qFormat/>
    <w:pPr>
      <w:spacing w:after="120" w:line="240" w:lineRule="auto"/>
    </w:pPr>
    <w:rPr>
      <w:rFonts w:ascii="Arial" w:eastAsia="Arial" w:hAnsi="Arial" w:cs="Arial"/>
      <w:color w:val="177CA3"/>
      <w:sz w:val="36"/>
      <w:szCs w:val="3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e.gov/scep/energy-efficiency-revolving-loan-fund-capitalization-grant-program" TargetMode="External"/><Relationship Id="rId13" Type="http://schemas.openxmlformats.org/officeDocument/2006/relationships/hyperlink" Target="https://betterbuildingssolutioncenter.energy.gov/home-energy-score" TargetMode="External"/><Relationship Id="rId18" Type="http://schemas.openxmlformats.org/officeDocument/2006/relationships/hyperlink" Target="https://portfoliomanager.energystar.gov/pm/login?testEnv=false" TargetMode="External"/><Relationship Id="rId26" Type="http://schemas.openxmlformats.org/officeDocument/2006/relationships/hyperlink" Target="https://emp.lbl.gov/"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nergystar.gov/saveathome/improvements/how-it-works/home-performance-assessment" TargetMode="External"/><Relationship Id="rId17" Type="http://schemas.openxmlformats.org/officeDocument/2006/relationships/hyperlink" Target="https://portfoliomanager.energystar.gov/pm/login?testEnv=fals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ortfoliomanager.energystar.gov/pm/login?testEnv=fals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terbuildingssolutioncenter.energy.gov/home-energy-scor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ortfoliomanager.energystar.gov/pm/login?testEnv=false"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https://www.energystar.gov/saveathome/improvements/how-it-works/home-performance-assessment" TargetMode="External"/><Relationship Id="rId19" Type="http://schemas.openxmlformats.org/officeDocument/2006/relationships/hyperlink" Target="https://www.energy.gov/infrastructure/davis-bacon-ac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ildingenergyscore.energy.gov/" TargetMode="External"/><Relationship Id="rId14" Type="http://schemas.openxmlformats.org/officeDocument/2006/relationships/hyperlink" Target="https://portfoliomanager.energystar.gov/pm/login?testEnv=false" TargetMode="External"/><Relationship Id="rId22" Type="http://schemas.openxmlformats.org/officeDocument/2006/relationships/footer" Target="footer1.xml"/><Relationship Id="rId27" Type="http://schemas.openxmlformats.org/officeDocument/2006/relationships/hyperlink" Target="https://emp.lbl.gov/publication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mp.lbl.gov/mailing-li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ergystar.gov/saveathome/improvements/how-it-works/home-performance-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ETA">
  <a:themeElements>
    <a:clrScheme name="ETA Color">
      <a:dk1>
        <a:srgbClr val="000000"/>
      </a:dk1>
      <a:lt1>
        <a:srgbClr val="FFFFFF"/>
      </a:lt1>
      <a:dk2>
        <a:srgbClr val="00303C"/>
      </a:dk2>
      <a:lt2>
        <a:srgbClr val="177CA3"/>
      </a:lt2>
      <a:accent1>
        <a:srgbClr val="FAB215"/>
      </a:accent1>
      <a:accent2>
        <a:srgbClr val="2093C6"/>
      </a:accent2>
      <a:accent3>
        <a:srgbClr val="49AEA8"/>
      </a:accent3>
      <a:accent4>
        <a:srgbClr val="618C46"/>
      </a:accent4>
      <a:accent5>
        <a:srgbClr val="D38834"/>
      </a:accent5>
      <a:accent6>
        <a:srgbClr val="65679F"/>
      </a:accent6>
      <a:hlink>
        <a:srgbClr val="2093C6"/>
      </a:hlink>
      <a:folHlink>
        <a:srgbClr val="6567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TA" id="{7A98F2A9-4523-7247-B652-0C49E704596C}" vid="{62D48B5A-64D3-AC45-B31F-C7B05BCADC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PPCuy6uoa2iL5jKKdvAuMcoBw==">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2297</Words>
  <Characters>13163</Characters>
  <Application>Microsoft Office Word</Application>
  <DocSecurity>0</DocSecurity>
  <Lines>306</Lines>
  <Paragraphs>139</Paragraphs>
  <ScaleCrop>false</ScaleCrop>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drobson</dc:creator>
  <cp:lastModifiedBy>Jeff Pitkin</cp:lastModifiedBy>
  <cp:revision>4</cp:revision>
  <dcterms:created xsi:type="dcterms:W3CDTF">2026-01-02T16:32:00Z</dcterms:created>
  <dcterms:modified xsi:type="dcterms:W3CDTF">2026-01-02T16:36:00Z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0x0101001B457125DE66DB47A9F05D706DB1418F</vt:lpwstr>
  </property>
  <property fmtid="{D5CDD505-2E9C-101B-9397-08002B2CF9AE}" pid="3" name="MediaServiceImageTags">
    <vt:lpwstr/>
  </property>
</Properties>
</file>