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5C83F8" w14:textId="77777777" w:rsidR="00A60630" w:rsidRDefault="00A60630">
      <w:pPr>
        <w:widowControl w:val="0"/>
        <w:pBdr>
          <w:top w:val="nil"/>
          <w:left w:val="nil"/>
          <w:bottom w:val="nil"/>
          <w:right w:val="nil"/>
          <w:between w:val="nil"/>
        </w:pBdr>
        <w:spacing w:line="276" w:lineRule="auto"/>
      </w:pPr>
    </w:p>
    <w:p w14:paraId="413FA3D9" w14:textId="77777777" w:rsidR="00A60630" w:rsidRDefault="00FD56C9">
      <w:pPr>
        <w:pStyle w:val="Heading1"/>
        <w:spacing w:before="160" w:after="0" w:line="240" w:lineRule="auto"/>
      </w:pPr>
      <w:r>
        <w:t xml:space="preserve">Example RLF Interest Rate Buydown Program Term Sheet </w:t>
      </w:r>
    </w:p>
    <w:p w14:paraId="417DA51B" w14:textId="77777777" w:rsidR="00A60630" w:rsidRDefault="00A60630"/>
    <w:p w14:paraId="0C33DE85" w14:textId="77777777" w:rsidR="00A60630" w:rsidRDefault="00FD56C9">
      <w:pPr>
        <w:pStyle w:val="Heading2"/>
      </w:pPr>
      <w:r>
        <w:t>Purpose</w:t>
      </w:r>
    </w:p>
    <w:p w14:paraId="3CEC4266" w14:textId="77777777" w:rsidR="00A60630" w:rsidRDefault="00FD56C9">
      <w:pPr>
        <w:spacing w:line="276" w:lineRule="auto"/>
      </w:pPr>
      <w:r>
        <w:t xml:space="preserve">This document offers a proposed term sheet template that can be used by state energy offices to summarize their proposed revolving loan fund structure and operational processes to solicit market feedback from potential service providers, lenders, or lending organizations, if allowed by their procurement processes.  The numerical items in this term sheet are illustrative and state energy offices should determine the values they wish to use in their program design.  </w:t>
      </w:r>
    </w:p>
    <w:p w14:paraId="4EBC11BB" w14:textId="77777777" w:rsidR="00A60630" w:rsidRDefault="00A60630">
      <w:pPr>
        <w:spacing w:line="276" w:lineRule="auto"/>
      </w:pPr>
    </w:p>
    <w:p w14:paraId="20010223" w14:textId="77777777" w:rsidR="00A60630" w:rsidRDefault="00FD56C9">
      <w:pPr>
        <w:spacing w:line="276" w:lineRule="auto"/>
      </w:pPr>
      <w:r>
        <w:rPr>
          <w:sz w:val="18"/>
          <w:szCs w:val="18"/>
        </w:rPr>
        <w:t xml:space="preserve">Note: This resource was prepared based on the requirements of the </w:t>
      </w:r>
      <w:hyperlink r:id="rId8">
        <w:r>
          <w:rPr>
            <w:color w:val="0000FF"/>
            <w:sz w:val="18"/>
            <w:szCs w:val="18"/>
            <w:u w:val="single"/>
          </w:rPr>
          <w:t>Energy Efficiency Revolving Loan Fund Capitalization Grant Program</w:t>
        </w:r>
      </w:hyperlink>
      <w:r>
        <w:rPr>
          <w:sz w:val="18"/>
          <w:szCs w:val="18"/>
        </w:rPr>
        <w:t xml:space="preserve"> (Bipartisan Infrastructure Law Section 40502), , e.g., project eligibility, energy audit requirements, borrowers eligibility, and monthly report. Adapt as needed if utilizing for RLF programs associated with other funding sources.</w:t>
      </w:r>
    </w:p>
    <w:p w14:paraId="61BBABF7" w14:textId="77777777" w:rsidR="00A60630" w:rsidRDefault="00FD56C9">
      <w:pPr>
        <w:spacing w:line="240" w:lineRule="auto"/>
        <w:rPr>
          <w:rFonts w:ascii="Arial" w:eastAsia="Arial" w:hAnsi="Arial" w:cs="Arial"/>
          <w:color w:val="177CA3"/>
          <w:sz w:val="32"/>
          <w:szCs w:val="32"/>
        </w:rPr>
      </w:pPr>
      <w:r>
        <w:br w:type="page"/>
      </w:r>
    </w:p>
    <w:p w14:paraId="77C105DC" w14:textId="77777777" w:rsidR="00A60630" w:rsidRDefault="00FD56C9">
      <w:pPr>
        <w:spacing w:line="240" w:lineRule="auto"/>
      </w:pPr>
      <w:r>
        <w:rPr>
          <w:rFonts w:ascii="Arial" w:eastAsia="Arial" w:hAnsi="Arial" w:cs="Arial"/>
          <w:color w:val="177CA3"/>
          <w:sz w:val="32"/>
          <w:szCs w:val="32"/>
        </w:rPr>
        <w:lastRenderedPageBreak/>
        <w:t>Example RLF Interest Rate Buydown Program Term Sheet</w:t>
      </w:r>
      <w:r>
        <w:br/>
      </w:r>
      <w:r>
        <w:br/>
      </w:r>
      <w:r>
        <w:rPr>
          <w:b/>
          <w:bCs/>
          <w:u w:val="single"/>
        </w:rPr>
        <w:t>DRAFT</w:t>
      </w:r>
      <w:r>
        <w:t>– Preliminary, subject to change</w:t>
      </w:r>
    </w:p>
    <w:p w14:paraId="430AAEAD" w14:textId="77777777" w:rsidR="00A60630" w:rsidRDefault="00A60630">
      <w:pPr>
        <w:pBdr>
          <w:top w:val="nil"/>
          <w:left w:val="nil"/>
          <w:bottom w:val="nil"/>
          <w:right w:val="nil"/>
          <w:between w:val="nil"/>
        </w:pBdr>
        <w:spacing w:line="240" w:lineRule="auto"/>
        <w:rPr>
          <w:rFonts w:ascii="Arial" w:eastAsia="Arial" w:hAnsi="Arial" w:cs="Arial"/>
          <w:color w:val="000000"/>
        </w:rPr>
      </w:pPr>
    </w:p>
    <w:tbl>
      <w:tblPr>
        <w:tblStyle w:val="a"/>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5"/>
        <w:gridCol w:w="8420"/>
      </w:tblGrid>
      <w:tr w:rsidR="00A60630" w14:paraId="49DE08F9" w14:textId="77777777">
        <w:tc>
          <w:tcPr>
            <w:tcW w:w="1745" w:type="dxa"/>
          </w:tcPr>
          <w:p w14:paraId="0BDBF01A" w14:textId="77777777" w:rsidR="00A60630" w:rsidRDefault="00FD56C9">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Program Sponsor</w:t>
            </w:r>
          </w:p>
        </w:tc>
        <w:tc>
          <w:tcPr>
            <w:tcW w:w="8420" w:type="dxa"/>
          </w:tcPr>
          <w:p w14:paraId="0F96D357" w14:textId="77777777" w:rsidR="00A60630" w:rsidRDefault="00FD56C9">
            <w:pPr>
              <w:spacing w:line="240" w:lineRule="auto"/>
              <w:rPr>
                <w:rFonts w:ascii="Arial" w:eastAsia="Arial" w:hAnsi="Arial" w:cs="Arial"/>
                <w:color w:val="FF0000"/>
              </w:rPr>
            </w:pPr>
            <w:r>
              <w:rPr>
                <w:rFonts w:ascii="Arial" w:eastAsia="Arial" w:hAnsi="Arial" w:cs="Arial"/>
              </w:rPr>
              <w:t>State of</w:t>
            </w:r>
            <w:r>
              <w:rPr>
                <w:rFonts w:ascii="Arial" w:eastAsia="Arial" w:hAnsi="Arial" w:cs="Arial"/>
                <w:color w:val="FF0000"/>
              </w:rPr>
              <w:t xml:space="preserve"> [State]</w:t>
            </w:r>
            <w:r>
              <w:rPr>
                <w:rFonts w:ascii="Arial" w:eastAsia="Arial" w:hAnsi="Arial" w:cs="Arial"/>
              </w:rPr>
              <w:t xml:space="preserve">, acting through </w:t>
            </w:r>
            <w:r>
              <w:rPr>
                <w:rFonts w:ascii="Arial" w:eastAsia="Arial" w:hAnsi="Arial" w:cs="Arial"/>
                <w:color w:val="FF0000"/>
              </w:rPr>
              <w:t>[Agency/Department]</w:t>
            </w:r>
          </w:p>
          <w:p w14:paraId="2836656F" w14:textId="77777777" w:rsidR="00A60630" w:rsidRDefault="00A60630">
            <w:pPr>
              <w:spacing w:line="240" w:lineRule="auto"/>
              <w:rPr>
                <w:rFonts w:ascii="Arial" w:eastAsia="Arial" w:hAnsi="Arial" w:cs="Arial"/>
              </w:rPr>
            </w:pPr>
          </w:p>
        </w:tc>
      </w:tr>
      <w:tr w:rsidR="00A60630" w14:paraId="298975DD" w14:textId="77777777">
        <w:tc>
          <w:tcPr>
            <w:tcW w:w="1745" w:type="dxa"/>
          </w:tcPr>
          <w:p w14:paraId="660B1464" w14:textId="77777777" w:rsidR="00A60630" w:rsidRDefault="00FD56C9">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Funding/ authorization</w:t>
            </w:r>
          </w:p>
        </w:tc>
        <w:tc>
          <w:tcPr>
            <w:tcW w:w="8420" w:type="dxa"/>
          </w:tcPr>
          <w:p w14:paraId="521A3BA9" w14:textId="77777777" w:rsidR="00A60630" w:rsidRDefault="00FD56C9">
            <w:pPr>
              <w:spacing w:line="240" w:lineRule="auto"/>
              <w:rPr>
                <w:rFonts w:ascii="Arial" w:eastAsia="Arial" w:hAnsi="Arial" w:cs="Arial"/>
              </w:rPr>
            </w:pPr>
            <w:r>
              <w:rPr>
                <w:rFonts w:ascii="Arial" w:eastAsia="Arial" w:hAnsi="Arial" w:cs="Arial"/>
              </w:rPr>
              <w:t xml:space="preserve">Program Sponsor has received an allocation of </w:t>
            </w:r>
            <w:r>
              <w:rPr>
                <w:rFonts w:ascii="Arial" w:eastAsia="Arial" w:hAnsi="Arial" w:cs="Arial"/>
                <w:color w:val="FF0000"/>
              </w:rPr>
              <w:t>[$x,xxx,xxx]</w:t>
            </w:r>
            <w:r>
              <w:rPr>
                <w:rFonts w:ascii="Arial" w:eastAsia="Arial" w:hAnsi="Arial" w:cs="Arial"/>
              </w:rPr>
              <w:t xml:space="preserve"> under U.S. Department of Energy’s Energy Efficiency Revolving Loan Fund Capitalization Grant Program, authorized under Section 40502 of the Infrastructure Investment and Jobs Act, commonly referred to as the Bipartisan Infrastructure Law. Program Sponsor will use:</w:t>
            </w:r>
          </w:p>
          <w:p w14:paraId="536F9B7C" w14:textId="77777777" w:rsidR="00A60630" w:rsidRDefault="00FD56C9">
            <w:pPr>
              <w:numPr>
                <w:ilvl w:val="0"/>
                <w:numId w:val="3"/>
              </w:numPr>
              <w:spacing w:line="240" w:lineRule="auto"/>
            </w:pPr>
            <w:r>
              <w:rPr>
                <w:rFonts w:ascii="Arial" w:eastAsia="Arial" w:hAnsi="Arial" w:cs="Arial"/>
              </w:rPr>
              <w:t xml:space="preserve">up to </w:t>
            </w:r>
            <w:r>
              <w:rPr>
                <w:rFonts w:ascii="Arial" w:eastAsia="Arial" w:hAnsi="Arial" w:cs="Arial"/>
                <w:color w:val="FF0000"/>
              </w:rPr>
              <w:t>[$xxx,xxx]</w:t>
            </w:r>
            <w:r>
              <w:rPr>
                <w:rFonts w:ascii="Arial" w:eastAsia="Arial" w:hAnsi="Arial" w:cs="Arial"/>
              </w:rPr>
              <w:t xml:space="preserve"> for program administration costs.</w:t>
            </w:r>
          </w:p>
          <w:p w14:paraId="7BACBCC2" w14:textId="77777777" w:rsidR="00A60630" w:rsidRDefault="00FD56C9">
            <w:pPr>
              <w:numPr>
                <w:ilvl w:val="0"/>
                <w:numId w:val="3"/>
              </w:numPr>
              <w:spacing w:line="240" w:lineRule="auto"/>
            </w:pPr>
            <w:r>
              <w:rPr>
                <w:rFonts w:ascii="Arial" w:eastAsia="Arial" w:hAnsi="Arial" w:cs="Arial"/>
                <w:color w:val="FF0000"/>
              </w:rPr>
              <w:t>[up to $xxx,xxx for grant payments by Program Sponsor for the cost of Energy Audits for Eligible Projects.]</w:t>
            </w:r>
            <w:r>
              <w:rPr>
                <w:rFonts w:ascii="Arial" w:eastAsia="Arial" w:hAnsi="Arial" w:cs="Arial"/>
              </w:rPr>
              <w:t xml:space="preserve"> </w:t>
            </w:r>
          </w:p>
          <w:p w14:paraId="2CD26114" w14:textId="77777777" w:rsidR="00A60630" w:rsidRDefault="00FD56C9">
            <w:pPr>
              <w:numPr>
                <w:ilvl w:val="0"/>
                <w:numId w:val="3"/>
              </w:numPr>
              <w:spacing w:line="240" w:lineRule="auto"/>
              <w:rPr>
                <w:rFonts w:ascii="Arial" w:eastAsia="Arial" w:hAnsi="Arial" w:cs="Arial"/>
                <w:i/>
                <w:iCs/>
              </w:rPr>
            </w:pPr>
            <w:r>
              <w:rPr>
                <w:rFonts w:ascii="Arial" w:eastAsia="Arial" w:hAnsi="Arial" w:cs="Arial"/>
              </w:rPr>
              <w:t xml:space="preserve">not less than </w:t>
            </w:r>
            <w:r>
              <w:rPr>
                <w:rFonts w:ascii="Arial" w:eastAsia="Arial" w:hAnsi="Arial" w:cs="Arial"/>
                <w:color w:val="FF0000"/>
              </w:rPr>
              <w:t>[$x,xxx,xxx]</w:t>
            </w:r>
            <w:r>
              <w:rPr>
                <w:rFonts w:ascii="Arial" w:eastAsia="Arial" w:hAnsi="Arial" w:cs="Arial"/>
              </w:rPr>
              <w:t xml:space="preserve"> for interest rate reduction payments made to Program Lender to reduce the interest rate on loans issued by Program Lender to finance Eligible Projects.</w:t>
            </w:r>
          </w:p>
          <w:p w14:paraId="1DE306D2" w14:textId="77777777" w:rsidR="00A60630" w:rsidRDefault="00FD56C9">
            <w:pPr>
              <w:spacing w:line="240" w:lineRule="auto"/>
              <w:rPr>
                <w:rFonts w:ascii="Arial" w:eastAsia="Arial" w:hAnsi="Arial" w:cs="Arial"/>
                <w:color w:val="FF0000"/>
              </w:rPr>
            </w:pPr>
            <w:r>
              <w:rPr>
                <w:rFonts w:ascii="Arial" w:eastAsia="Arial" w:hAnsi="Arial" w:cs="Arial"/>
              </w:rPr>
              <w:t xml:space="preserve">The Program shall be available on a first-come, first-served basis </w:t>
            </w:r>
            <w:r>
              <w:rPr>
                <w:rFonts w:ascii="Arial" w:eastAsia="Arial" w:hAnsi="Arial" w:cs="Arial"/>
                <w:color w:val="FF0000"/>
              </w:rPr>
              <w:t>[or describe process for project application and approval]</w:t>
            </w:r>
          </w:p>
        </w:tc>
      </w:tr>
      <w:tr w:rsidR="00A60630" w14:paraId="7CAFEF15" w14:textId="77777777">
        <w:tc>
          <w:tcPr>
            <w:tcW w:w="1745" w:type="dxa"/>
          </w:tcPr>
          <w:p w14:paraId="197B7561" w14:textId="77777777" w:rsidR="00A60630" w:rsidRDefault="00FD56C9">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Program Administrator</w:t>
            </w:r>
          </w:p>
          <w:p w14:paraId="3052D8C4" w14:textId="77777777" w:rsidR="00A60630" w:rsidRDefault="00FD56C9">
            <w:pPr>
              <w:pBdr>
                <w:top w:val="nil"/>
                <w:left w:val="nil"/>
                <w:bottom w:val="nil"/>
                <w:right w:val="nil"/>
                <w:between w:val="nil"/>
              </w:pBdr>
              <w:spacing w:line="240" w:lineRule="auto"/>
              <w:rPr>
                <w:rFonts w:ascii="Arial" w:eastAsia="Arial" w:hAnsi="Arial" w:cs="Arial"/>
                <w:color w:val="980000"/>
              </w:rPr>
            </w:pPr>
            <w:r>
              <w:rPr>
                <w:rFonts w:ascii="Arial" w:eastAsia="Arial" w:hAnsi="Arial" w:cs="Arial"/>
                <w:color w:val="980000"/>
              </w:rPr>
              <w:t>(if applicable)</w:t>
            </w:r>
          </w:p>
        </w:tc>
        <w:tc>
          <w:tcPr>
            <w:tcW w:w="8420" w:type="dxa"/>
          </w:tcPr>
          <w:p w14:paraId="75529876" w14:textId="77777777" w:rsidR="00A60630" w:rsidRDefault="00FD56C9">
            <w:pPr>
              <w:pBdr>
                <w:top w:val="nil"/>
                <w:left w:val="nil"/>
                <w:bottom w:val="nil"/>
                <w:right w:val="nil"/>
                <w:between w:val="nil"/>
              </w:pBdr>
              <w:spacing w:line="240" w:lineRule="auto"/>
              <w:rPr>
                <w:rFonts w:ascii="Arial" w:eastAsia="Arial" w:hAnsi="Arial" w:cs="Arial"/>
                <w:i/>
                <w:iCs/>
                <w:color w:val="FF0000"/>
              </w:rPr>
            </w:pPr>
            <w:r>
              <w:rPr>
                <w:rFonts w:ascii="Arial" w:eastAsia="Arial" w:hAnsi="Arial" w:cs="Arial"/>
                <w:i/>
                <w:iCs/>
                <w:color w:val="FF0000"/>
              </w:rPr>
              <w:t>(If the program will use a Program Administrator to perform financial and operational activities, identify the entity, if known, or how they will be selected.  Describe the Program Administrator’s responsibilities.)</w:t>
            </w:r>
          </w:p>
        </w:tc>
      </w:tr>
      <w:tr w:rsidR="00A60630" w14:paraId="0EBFBA7F" w14:textId="77777777">
        <w:tc>
          <w:tcPr>
            <w:tcW w:w="1745" w:type="dxa"/>
          </w:tcPr>
          <w:p w14:paraId="04740187" w14:textId="77777777" w:rsidR="00A60630" w:rsidRDefault="00FD56C9">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Program Lender(s)</w:t>
            </w:r>
          </w:p>
        </w:tc>
        <w:tc>
          <w:tcPr>
            <w:tcW w:w="8420" w:type="dxa"/>
          </w:tcPr>
          <w:p w14:paraId="716B461F" w14:textId="77777777" w:rsidR="00A60630" w:rsidRDefault="00FD56C9">
            <w:pPr>
              <w:spacing w:line="240" w:lineRule="auto"/>
              <w:rPr>
                <w:rFonts w:ascii="Arial" w:eastAsia="Arial" w:hAnsi="Arial" w:cs="Arial"/>
                <w:i/>
                <w:iCs/>
                <w:color w:val="FF0000"/>
              </w:rPr>
            </w:pPr>
            <w:r>
              <w:rPr>
                <w:rFonts w:ascii="Arial" w:eastAsia="Arial" w:hAnsi="Arial" w:cs="Arial"/>
                <w:i/>
                <w:iCs/>
                <w:color w:val="FF0000"/>
              </w:rPr>
              <w:t>(state the name of the Program Lender, if only one, and if known, or list as TBD)</w:t>
            </w:r>
          </w:p>
          <w:p w14:paraId="3B6E084D" w14:textId="77777777" w:rsidR="00A60630" w:rsidRDefault="00A60630">
            <w:pPr>
              <w:spacing w:line="240" w:lineRule="auto"/>
              <w:rPr>
                <w:rFonts w:ascii="Arial" w:eastAsia="Arial" w:hAnsi="Arial" w:cs="Arial"/>
              </w:rPr>
            </w:pPr>
          </w:p>
          <w:p w14:paraId="07414153" w14:textId="77777777" w:rsidR="00A60630" w:rsidRDefault="00FD56C9">
            <w:pPr>
              <w:spacing w:line="240" w:lineRule="auto"/>
              <w:rPr>
                <w:rFonts w:ascii="Arial" w:eastAsia="Arial" w:hAnsi="Arial" w:cs="Arial"/>
                <w:i/>
                <w:iCs/>
                <w:color w:val="FF0000"/>
              </w:rPr>
            </w:pPr>
            <w:r>
              <w:rPr>
                <w:rFonts w:ascii="Arial" w:eastAsia="Arial" w:hAnsi="Arial" w:cs="Arial"/>
                <w:i/>
                <w:iCs/>
                <w:color w:val="FF0000"/>
              </w:rPr>
              <w:t>(If multiple Program Lenders approved through application process)</w:t>
            </w:r>
          </w:p>
          <w:p w14:paraId="6D73CE56" w14:textId="77777777" w:rsidR="00A60630" w:rsidRDefault="00FD56C9">
            <w:pPr>
              <w:spacing w:line="240" w:lineRule="auto"/>
              <w:rPr>
                <w:rFonts w:ascii="Arial" w:eastAsia="Arial" w:hAnsi="Arial" w:cs="Arial"/>
                <w:i/>
                <w:iCs/>
                <w:color w:val="FF0000"/>
              </w:rPr>
            </w:pPr>
            <w:r>
              <w:rPr>
                <w:rFonts w:ascii="Arial" w:eastAsia="Arial" w:hAnsi="Arial" w:cs="Arial"/>
                <w:color w:val="FF0000"/>
              </w:rPr>
              <w:t>[Program Sponsor/Program Administrator]</w:t>
            </w:r>
            <w:r>
              <w:rPr>
                <w:rFonts w:ascii="Arial" w:eastAsia="Arial" w:hAnsi="Arial" w:cs="Arial"/>
              </w:rPr>
              <w:t xml:space="preserve"> will review and approve applicants to participate in the program as a Program Lender. Eligible applicants will include federal- and state- chartered banks and credit unions and community development financial institutions certified by the U.S. Department of the Treasury CDFI Fund [describe any other types of lenders that are eligible to apply. Applicants will be required to submit an application form. </w:t>
            </w:r>
          </w:p>
        </w:tc>
      </w:tr>
      <w:tr w:rsidR="00A60630" w14:paraId="7AEC990C" w14:textId="77777777">
        <w:tc>
          <w:tcPr>
            <w:tcW w:w="1745" w:type="dxa"/>
          </w:tcPr>
          <w:p w14:paraId="6C625A59" w14:textId="77777777" w:rsidR="00A60630" w:rsidRDefault="00FD56C9">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Eligible Projects</w:t>
            </w:r>
          </w:p>
        </w:tc>
        <w:tc>
          <w:tcPr>
            <w:tcW w:w="8420" w:type="dxa"/>
          </w:tcPr>
          <w:p w14:paraId="1430FBB9" w14:textId="77777777" w:rsidR="00A60630" w:rsidRDefault="00FD56C9">
            <w:pPr>
              <w:numPr>
                <w:ilvl w:val="0"/>
                <w:numId w:val="7"/>
              </w:numPr>
              <w:pBdr>
                <w:top w:val="nil"/>
                <w:left w:val="nil"/>
                <w:bottom w:val="nil"/>
                <w:right w:val="nil"/>
                <w:between w:val="nil"/>
              </w:pBdr>
              <w:spacing w:line="240" w:lineRule="auto"/>
              <w:ind w:left="360"/>
              <w:rPr>
                <w:rFonts w:ascii="Arial" w:eastAsia="Arial" w:hAnsi="Arial" w:cs="Arial"/>
                <w:color w:val="000000"/>
              </w:rPr>
            </w:pPr>
            <w:r>
              <w:rPr>
                <w:rFonts w:ascii="Arial" w:eastAsia="Arial" w:hAnsi="Arial" w:cs="Arial"/>
              </w:rPr>
              <w:t xml:space="preserve">Upgrades or retrofits recommended in a qualifying energy audit completed for a </w:t>
            </w:r>
            <w:r>
              <w:rPr>
                <w:rFonts w:ascii="Arial" w:eastAsia="Arial" w:hAnsi="Arial" w:cs="Arial"/>
                <w:color w:val="FF0000"/>
              </w:rPr>
              <w:t>[public- or privately-owned commercial building/structure][single-family residential home, condominium, duplex, or manufactured housing unit][multifamily housing units]</w:t>
            </w:r>
            <w:r>
              <w:rPr>
                <w:rFonts w:ascii="Arial" w:eastAsia="Arial" w:hAnsi="Arial" w:cs="Arial"/>
              </w:rPr>
              <w:t xml:space="preserve"> located in </w:t>
            </w:r>
            <w:r>
              <w:rPr>
                <w:rFonts w:ascii="Arial" w:eastAsia="Arial" w:hAnsi="Arial" w:cs="Arial"/>
                <w:color w:val="FF0000"/>
              </w:rPr>
              <w:t>[State].</w:t>
            </w:r>
          </w:p>
          <w:p w14:paraId="3635B78F" w14:textId="77777777" w:rsidR="00A60630" w:rsidRDefault="00FD56C9">
            <w:pPr>
              <w:numPr>
                <w:ilvl w:val="0"/>
                <w:numId w:val="7"/>
              </w:numPr>
              <w:pBdr>
                <w:top w:val="nil"/>
                <w:left w:val="nil"/>
                <w:bottom w:val="nil"/>
                <w:right w:val="nil"/>
                <w:between w:val="nil"/>
              </w:pBdr>
              <w:spacing w:line="240" w:lineRule="auto"/>
              <w:ind w:left="360"/>
              <w:rPr>
                <w:rFonts w:ascii="Arial" w:eastAsia="Arial" w:hAnsi="Arial" w:cs="Arial"/>
                <w:color w:val="000000"/>
              </w:rPr>
            </w:pPr>
            <w:r>
              <w:rPr>
                <w:rFonts w:ascii="Arial" w:eastAsia="Arial" w:hAnsi="Arial" w:cs="Arial"/>
                <w:color w:val="000000"/>
              </w:rPr>
              <w:t xml:space="preserve">The project’s cost must be life-cycle cost-effective, which shall be demonstrated on the energy audit report showing that the estimated lifetime energy savings from the project upgrades/retrofits will be at least equal to the total project cost.  Program Sponsor shall reserve the right to approve an alternative method of demonstrating cost-effectiveness if deemed acceptable. </w:t>
            </w:r>
          </w:p>
          <w:p w14:paraId="45CFAA23" w14:textId="77777777" w:rsidR="00A60630" w:rsidRDefault="00FD56C9">
            <w:pPr>
              <w:numPr>
                <w:ilvl w:val="0"/>
                <w:numId w:val="7"/>
              </w:numPr>
              <w:pBdr>
                <w:top w:val="nil"/>
                <w:left w:val="nil"/>
                <w:bottom w:val="nil"/>
                <w:right w:val="nil"/>
                <w:between w:val="nil"/>
              </w:pBdr>
              <w:spacing w:line="240" w:lineRule="auto"/>
              <w:ind w:left="360"/>
              <w:rPr>
                <w:rFonts w:ascii="Arial" w:eastAsia="Arial" w:hAnsi="Arial" w:cs="Arial"/>
                <w:color w:val="000000"/>
              </w:rPr>
            </w:pPr>
            <w:r>
              <w:rPr>
                <w:rFonts w:ascii="Arial" w:eastAsia="Arial" w:hAnsi="Arial" w:cs="Arial"/>
                <w:color w:val="000000"/>
              </w:rPr>
              <w:t>The project must address at least one of the following:</w:t>
            </w:r>
          </w:p>
          <w:p w14:paraId="4ABEDB9A" w14:textId="77777777" w:rsidR="00A60630" w:rsidRDefault="00FD56C9">
            <w:pPr>
              <w:numPr>
                <w:ilvl w:val="0"/>
                <w:numId w:val="7"/>
              </w:num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 xml:space="preserve">the energy efficiency of the building/facility; </w:t>
            </w:r>
          </w:p>
          <w:p w14:paraId="16FB8973" w14:textId="77777777" w:rsidR="00A60630" w:rsidRDefault="00FD56C9">
            <w:pPr>
              <w:numPr>
                <w:ilvl w:val="0"/>
                <w:numId w:val="7"/>
              </w:num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 xml:space="preserve">the physical comfort of the building/facility occupants; or </w:t>
            </w:r>
          </w:p>
          <w:p w14:paraId="4AD4C6D6" w14:textId="77777777" w:rsidR="00A60630" w:rsidRDefault="00FD56C9">
            <w:pPr>
              <w:numPr>
                <w:ilvl w:val="0"/>
                <w:numId w:val="7"/>
              </w:num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 xml:space="preserve">the quality of the air in the building/facility. </w:t>
            </w:r>
          </w:p>
          <w:p w14:paraId="5FDCD336" w14:textId="77777777" w:rsidR="00A60630" w:rsidRDefault="00FD56C9">
            <w:pPr>
              <w:numPr>
                <w:ilvl w:val="1"/>
                <w:numId w:val="7"/>
              </w:num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 xml:space="preserve">NOTE: Based on the criteria above, geothermal heating systems are eligible, but solar/PV systems would need to be paired with energy storage or designed to provide operation during utility electricity grid outage to be eligible. </w:t>
            </w:r>
          </w:p>
          <w:p w14:paraId="359FA5CB" w14:textId="77777777" w:rsidR="00A60630" w:rsidRDefault="00FD56C9">
            <w:pPr>
              <w:numPr>
                <w:ilvl w:val="0"/>
                <w:numId w:val="7"/>
              </w:numPr>
              <w:pBdr>
                <w:top w:val="nil"/>
                <w:left w:val="nil"/>
                <w:bottom w:val="nil"/>
                <w:right w:val="nil"/>
                <w:between w:val="nil"/>
              </w:pBdr>
              <w:spacing w:line="240" w:lineRule="auto"/>
              <w:ind w:left="360"/>
              <w:rPr>
                <w:rFonts w:ascii="Arial" w:eastAsia="Arial" w:hAnsi="Arial" w:cs="Arial"/>
                <w:color w:val="000000"/>
              </w:rPr>
            </w:pPr>
            <w:r>
              <w:rPr>
                <w:rFonts w:ascii="Arial" w:eastAsia="Arial" w:hAnsi="Arial" w:cs="Arial"/>
                <w:color w:val="000000"/>
              </w:rPr>
              <w:t xml:space="preserve">The project must lead to at least one of the following outcomes: </w:t>
            </w:r>
          </w:p>
          <w:p w14:paraId="48A83B28" w14:textId="77777777" w:rsidR="00A60630" w:rsidRDefault="00FD56C9">
            <w:pPr>
              <w:numPr>
                <w:ilvl w:val="0"/>
                <w:numId w:val="7"/>
              </w:num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lastRenderedPageBreak/>
              <w:t xml:space="preserve">reduce the energy intensity of the building/facility; or </w:t>
            </w:r>
          </w:p>
          <w:p w14:paraId="78F24246" w14:textId="77777777" w:rsidR="00A60630" w:rsidRDefault="00FD56C9">
            <w:pPr>
              <w:numPr>
                <w:ilvl w:val="1"/>
                <w:numId w:val="2"/>
              </w:numPr>
              <w:pBdr>
                <w:top w:val="nil"/>
                <w:left w:val="nil"/>
                <w:bottom w:val="nil"/>
                <w:right w:val="nil"/>
                <w:between w:val="nil"/>
              </w:pBdr>
              <w:spacing w:line="240" w:lineRule="auto"/>
              <w:ind w:left="720"/>
              <w:rPr>
                <w:rFonts w:ascii="Arial" w:eastAsia="Arial" w:hAnsi="Arial" w:cs="Arial"/>
                <w:color w:val="000000"/>
              </w:rPr>
            </w:pPr>
            <w:r>
              <w:rPr>
                <w:rFonts w:ascii="Arial" w:eastAsia="Arial" w:hAnsi="Arial" w:cs="Arial"/>
                <w:color w:val="000000"/>
              </w:rPr>
              <w:t>improve the control and management of energy usage of the building/facility to reduce demand during peak times.</w:t>
            </w:r>
          </w:p>
          <w:p w14:paraId="00E561FB" w14:textId="77777777" w:rsidR="00A60630" w:rsidRDefault="00FD56C9">
            <w:pPr>
              <w:numPr>
                <w:ilvl w:val="0"/>
                <w:numId w:val="2"/>
              </w:numPr>
              <w:pBdr>
                <w:top w:val="nil"/>
                <w:left w:val="nil"/>
                <w:bottom w:val="nil"/>
                <w:right w:val="nil"/>
                <w:between w:val="nil"/>
              </w:pBdr>
              <w:spacing w:line="240" w:lineRule="auto"/>
            </w:pPr>
            <w:r>
              <w:rPr>
                <w:rFonts w:ascii="Arial" w:eastAsia="Arial" w:hAnsi="Arial" w:cs="Arial"/>
                <w:color w:val="000000"/>
              </w:rPr>
              <w:t>Loans may include any portion of the cost of Energy Audit paid for by the Eligible Borrower (not subsidized by Program Sponsor)</w:t>
            </w:r>
          </w:p>
        </w:tc>
      </w:tr>
      <w:tr w:rsidR="00A60630" w14:paraId="33A26AC0" w14:textId="77777777">
        <w:tc>
          <w:tcPr>
            <w:tcW w:w="1745" w:type="dxa"/>
          </w:tcPr>
          <w:p w14:paraId="61B84A69" w14:textId="77777777" w:rsidR="00A60630" w:rsidRDefault="00FD56C9">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lastRenderedPageBreak/>
              <w:t>Energy Audit Requirements</w:t>
            </w:r>
          </w:p>
        </w:tc>
        <w:tc>
          <w:tcPr>
            <w:tcW w:w="8420" w:type="dxa"/>
          </w:tcPr>
          <w:p w14:paraId="760B767B" w14:textId="77777777" w:rsidR="00A60630" w:rsidRDefault="00FD56C9">
            <w:pPr>
              <w:pBdr>
                <w:top w:val="nil"/>
                <w:left w:val="nil"/>
                <w:bottom w:val="nil"/>
                <w:right w:val="nil"/>
                <w:between w:val="nil"/>
              </w:pBdr>
              <w:spacing w:line="240" w:lineRule="auto"/>
              <w:rPr>
                <w:rFonts w:ascii="Arial" w:eastAsia="Arial" w:hAnsi="Arial" w:cs="Arial"/>
                <w:color w:val="FF0000"/>
              </w:rPr>
            </w:pPr>
            <w:r>
              <w:rPr>
                <w:rFonts w:ascii="Arial" w:eastAsia="Arial" w:hAnsi="Arial" w:cs="Arial"/>
                <w:color w:val="FF0000"/>
              </w:rPr>
              <w:t>[For commercial building audits:</w:t>
            </w:r>
          </w:p>
          <w:p w14:paraId="30CD52CE" w14:textId="77777777" w:rsidR="00A60630" w:rsidRDefault="00FD56C9">
            <w:pPr>
              <w:numPr>
                <w:ilvl w:val="0"/>
                <w:numId w:val="9"/>
              </w:numPr>
              <w:pBdr>
                <w:top w:val="nil"/>
                <w:left w:val="nil"/>
                <w:bottom w:val="nil"/>
                <w:right w:val="nil"/>
                <w:between w:val="nil"/>
              </w:pBdr>
              <w:spacing w:line="259" w:lineRule="auto"/>
              <w:ind w:firstLine="360"/>
              <w:rPr>
                <w:rFonts w:ascii="Arial" w:eastAsia="Arial" w:hAnsi="Arial" w:cs="Arial"/>
                <w:color w:val="000000"/>
              </w:rPr>
            </w:pPr>
            <w:r>
              <w:rPr>
                <w:rFonts w:ascii="Arial" w:eastAsia="Arial" w:hAnsi="Arial" w:cs="Arial"/>
                <w:color w:val="000000"/>
              </w:rPr>
              <w:t xml:space="preserve">1) Determine the overall consumption of energy of the facility of the eligible recipient.  </w:t>
            </w:r>
          </w:p>
          <w:p w14:paraId="4FEE8812" w14:textId="77777777" w:rsidR="00A60630" w:rsidRDefault="00FD56C9">
            <w:pPr>
              <w:numPr>
                <w:ilvl w:val="0"/>
                <w:numId w:val="9"/>
              </w:numPr>
              <w:pBdr>
                <w:top w:val="nil"/>
                <w:left w:val="nil"/>
                <w:bottom w:val="nil"/>
                <w:right w:val="nil"/>
                <w:between w:val="nil"/>
              </w:pBdr>
              <w:spacing w:line="260" w:lineRule="auto"/>
              <w:ind w:firstLine="360"/>
              <w:rPr>
                <w:rFonts w:ascii="Arial" w:eastAsia="Arial" w:hAnsi="Arial" w:cs="Arial"/>
                <w:color w:val="000000"/>
              </w:rPr>
            </w:pPr>
            <w:r>
              <w:rPr>
                <w:rFonts w:ascii="Arial" w:eastAsia="Arial" w:hAnsi="Arial" w:cs="Arial"/>
                <w:color w:val="000000"/>
              </w:rPr>
              <w:t xml:space="preserve">2) Identify and recommend lifecycle cost-effective opportunities to reduce the energy consumption of the facility of the eligible recipient.  </w:t>
            </w:r>
          </w:p>
          <w:p w14:paraId="0CE6EF36" w14:textId="77777777" w:rsidR="00A60630" w:rsidRDefault="00FD56C9">
            <w:pPr>
              <w:numPr>
                <w:ilvl w:val="0"/>
                <w:numId w:val="9"/>
              </w:numPr>
              <w:pBdr>
                <w:top w:val="nil"/>
                <w:left w:val="nil"/>
                <w:bottom w:val="nil"/>
                <w:right w:val="nil"/>
                <w:between w:val="nil"/>
              </w:pBdr>
              <w:spacing w:line="260" w:lineRule="auto"/>
              <w:ind w:firstLine="360"/>
              <w:rPr>
                <w:rFonts w:ascii="Arial" w:eastAsia="Arial" w:hAnsi="Arial" w:cs="Arial"/>
                <w:color w:val="000000"/>
              </w:rPr>
            </w:pPr>
            <w:r>
              <w:rPr>
                <w:rFonts w:ascii="Arial" w:eastAsia="Arial" w:hAnsi="Arial" w:cs="Arial"/>
                <w:color w:val="000000"/>
              </w:rPr>
              <w:t xml:space="preserve">3) Identify the period and level of peak energy demand for each building within the facility of the eligible recipient and the sources of energy consumption that are contributing the most to that period of peak energy demand.  </w:t>
            </w:r>
          </w:p>
          <w:p w14:paraId="1273A7D6" w14:textId="77777777" w:rsidR="00A60630" w:rsidRDefault="00FD56C9">
            <w:pPr>
              <w:numPr>
                <w:ilvl w:val="0"/>
                <w:numId w:val="9"/>
              </w:numPr>
              <w:pBdr>
                <w:top w:val="nil"/>
                <w:left w:val="nil"/>
                <w:bottom w:val="nil"/>
                <w:right w:val="nil"/>
                <w:between w:val="nil"/>
              </w:pBdr>
              <w:spacing w:line="260" w:lineRule="auto"/>
              <w:ind w:firstLine="360"/>
              <w:rPr>
                <w:rFonts w:ascii="Arial" w:eastAsia="Arial" w:hAnsi="Arial" w:cs="Arial"/>
                <w:color w:val="000000"/>
              </w:rPr>
            </w:pPr>
            <w:r>
              <w:rPr>
                <w:rFonts w:ascii="Arial" w:eastAsia="Arial" w:hAnsi="Arial" w:cs="Arial"/>
                <w:color w:val="000000"/>
              </w:rPr>
              <w:t xml:space="preserve">4) Recommend controls and management systems to reduce or redistribute peak energy consumption.  </w:t>
            </w:r>
          </w:p>
          <w:p w14:paraId="79FA7F93" w14:textId="77777777" w:rsidR="00A60630" w:rsidRDefault="00FD56C9">
            <w:pPr>
              <w:numPr>
                <w:ilvl w:val="0"/>
                <w:numId w:val="9"/>
              </w:numPr>
              <w:pBdr>
                <w:top w:val="nil"/>
                <w:left w:val="nil"/>
                <w:bottom w:val="nil"/>
                <w:right w:val="nil"/>
                <w:between w:val="nil"/>
              </w:pBdr>
              <w:spacing w:line="260" w:lineRule="auto"/>
              <w:ind w:firstLine="360"/>
              <w:rPr>
                <w:rFonts w:ascii="Arial" w:eastAsia="Arial" w:hAnsi="Arial" w:cs="Arial"/>
                <w:color w:val="000000"/>
              </w:rPr>
            </w:pPr>
            <w:r>
              <w:rPr>
                <w:rFonts w:ascii="Arial" w:eastAsia="Arial" w:hAnsi="Arial" w:cs="Arial"/>
                <w:color w:val="000000"/>
              </w:rPr>
              <w:t>5) Estimate the total energy and cost savings potential for the facility of the eligible recipient if all recommended upgrades and retrofits are implemented, using Audit Template, or such other audit software approved by DOE which complies with the BuildingSync data format.]</w:t>
            </w:r>
          </w:p>
          <w:p w14:paraId="19FD2B82" w14:textId="77777777" w:rsidR="00A60630" w:rsidRDefault="00A60630">
            <w:pPr>
              <w:pBdr>
                <w:top w:val="nil"/>
                <w:left w:val="nil"/>
                <w:bottom w:val="nil"/>
                <w:right w:val="nil"/>
                <w:between w:val="nil"/>
              </w:pBdr>
              <w:spacing w:line="240" w:lineRule="auto"/>
              <w:rPr>
                <w:rFonts w:ascii="Arial" w:eastAsia="Arial" w:hAnsi="Arial" w:cs="Arial"/>
                <w:color w:val="000000"/>
              </w:rPr>
            </w:pPr>
          </w:p>
          <w:p w14:paraId="207ACC81" w14:textId="77777777" w:rsidR="00A60630" w:rsidRDefault="00FD56C9">
            <w:pPr>
              <w:pBdr>
                <w:top w:val="nil"/>
                <w:left w:val="nil"/>
                <w:bottom w:val="nil"/>
                <w:right w:val="nil"/>
                <w:between w:val="nil"/>
              </w:pBdr>
              <w:spacing w:line="240" w:lineRule="auto"/>
              <w:rPr>
                <w:rFonts w:ascii="Arial" w:eastAsia="Arial" w:hAnsi="Arial" w:cs="Arial"/>
                <w:color w:val="FF0000"/>
              </w:rPr>
            </w:pPr>
            <w:r>
              <w:rPr>
                <w:rFonts w:ascii="Arial" w:eastAsia="Arial" w:hAnsi="Arial" w:cs="Arial"/>
                <w:color w:val="FF0000"/>
              </w:rPr>
              <w:t>[For single-family residential audits:</w:t>
            </w:r>
          </w:p>
          <w:p w14:paraId="22044622" w14:textId="77777777" w:rsidR="00A60630" w:rsidRDefault="00FD56C9">
            <w:pPr>
              <w:spacing w:after="1" w:line="258" w:lineRule="auto"/>
              <w:ind w:right="27"/>
              <w:rPr>
                <w:rFonts w:ascii="Arial" w:eastAsia="Arial" w:hAnsi="Arial" w:cs="Arial"/>
              </w:rPr>
            </w:pPr>
            <w:r>
              <w:rPr>
                <w:rFonts w:ascii="Arial" w:eastAsia="Arial" w:hAnsi="Arial" w:cs="Arial"/>
              </w:rPr>
              <w:t xml:space="preserve">1) Use the same evaluation criteria as the Home Performance Assessment used in the Energy Star program. </w:t>
            </w:r>
          </w:p>
          <w:p w14:paraId="190354F4" w14:textId="77777777" w:rsidR="00A60630" w:rsidRDefault="00FD56C9">
            <w:pPr>
              <w:spacing w:after="1" w:line="258" w:lineRule="auto"/>
              <w:ind w:right="27"/>
              <w:rPr>
                <w:rFonts w:ascii="Arial" w:eastAsia="Arial" w:hAnsi="Arial" w:cs="Arial"/>
              </w:rPr>
            </w:pPr>
            <w:r>
              <w:rPr>
                <w:rFonts w:ascii="Arial" w:eastAsia="Arial" w:hAnsi="Arial" w:cs="Arial"/>
              </w:rPr>
              <w:t xml:space="preserve">2) Identify and recommend lifecycle cost-effective opportunities to reduce the energy consumption of the facility of the eligible recipient.  </w:t>
            </w:r>
          </w:p>
          <w:p w14:paraId="2FDEDCDF" w14:textId="77777777" w:rsidR="00A60630" w:rsidRDefault="00FD56C9">
            <w:pPr>
              <w:spacing w:after="1" w:line="260" w:lineRule="auto"/>
              <w:ind w:right="303"/>
              <w:rPr>
                <w:rFonts w:ascii="Arial" w:eastAsia="Arial" w:hAnsi="Arial" w:cs="Arial"/>
              </w:rPr>
            </w:pPr>
            <w:r>
              <w:rPr>
                <w:rFonts w:ascii="Arial" w:eastAsia="Arial" w:hAnsi="Arial" w:cs="Arial"/>
              </w:rPr>
              <w:t xml:space="preserve">3) Recommend controls and management systems to reduce or redistribute peak energy consumption.  </w:t>
            </w:r>
          </w:p>
          <w:p w14:paraId="13CC34C0" w14:textId="77777777" w:rsidR="00A60630" w:rsidRDefault="00FD56C9">
            <w:pPr>
              <w:spacing w:after="1" w:line="260" w:lineRule="auto"/>
              <w:ind w:right="303"/>
              <w:rPr>
                <w:rFonts w:ascii="Arial" w:eastAsia="Arial" w:hAnsi="Arial" w:cs="Arial"/>
              </w:rPr>
            </w:pPr>
            <w:r>
              <w:rPr>
                <w:rFonts w:ascii="Arial" w:eastAsia="Arial" w:hAnsi="Arial" w:cs="Arial"/>
              </w:rPr>
              <w:t xml:space="preserve">4) Compare the energy consumption of the residential building of the eligible recipient to comparable residential buildings in the same geographic area.  </w:t>
            </w:r>
          </w:p>
          <w:p w14:paraId="1C106625" w14:textId="77777777" w:rsidR="00A60630" w:rsidRDefault="00FD56C9">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5) Provide a Home Energy Score, or equivalent score (as determined by the Secretary), for the residential building of the eligible recipient by using DOE’s Home Energy Score Tool or an equivalent scoring tool.</w:t>
            </w:r>
          </w:p>
          <w:p w14:paraId="3C2B5C5A" w14:textId="77777777" w:rsidR="00A60630" w:rsidRDefault="00FD56C9">
            <w:pPr>
              <w:spacing w:after="82" w:line="257" w:lineRule="auto"/>
              <w:rPr>
                <w:rFonts w:ascii="Arial" w:eastAsia="Arial" w:hAnsi="Arial" w:cs="Arial"/>
              </w:rPr>
            </w:pPr>
            <w:r>
              <w:rPr>
                <w:rFonts w:ascii="Arial" w:eastAsia="Arial" w:hAnsi="Arial" w:cs="Arial"/>
              </w:rPr>
              <w:t xml:space="preserve">Note: The Home Energy Score (HES) tool fully satisfies requirements #4 and #5 but does not fully satisfy requirements #1-3. To meet these requirements DOE recommends states have auditors use HES and supplement the HES report with: </w:t>
            </w:r>
          </w:p>
          <w:p w14:paraId="6682CA66" w14:textId="77777777" w:rsidR="00A60630" w:rsidRDefault="00FD56C9">
            <w:pPr>
              <w:numPr>
                <w:ilvl w:val="0"/>
                <w:numId w:val="2"/>
              </w:numPr>
              <w:pBdr>
                <w:top w:val="nil"/>
                <w:left w:val="nil"/>
                <w:bottom w:val="nil"/>
                <w:right w:val="nil"/>
                <w:between w:val="nil"/>
              </w:pBdr>
              <w:spacing w:line="257" w:lineRule="auto"/>
              <w:rPr>
                <w:rFonts w:ascii="Arial" w:eastAsia="Arial" w:hAnsi="Arial" w:cs="Arial"/>
                <w:color w:val="000000"/>
              </w:rPr>
            </w:pPr>
            <w:r>
              <w:rPr>
                <w:rFonts w:ascii="Arial" w:eastAsia="Arial" w:hAnsi="Arial" w:cs="Arial"/>
                <w:color w:val="000000"/>
              </w:rPr>
              <w:t xml:space="preserve">a statement certifying that the audit is informed by 1) resolving health and safety issues; 2) satisfying customer needs and desires; 3) overall cost-benefit to the customer; and 4) programmatic goals. </w:t>
            </w:r>
          </w:p>
          <w:p w14:paraId="429BA5DD" w14:textId="77777777" w:rsidR="00A60630" w:rsidRDefault="00FD56C9">
            <w:pPr>
              <w:numPr>
                <w:ilvl w:val="0"/>
                <w:numId w:val="2"/>
              </w:numPr>
              <w:pBdr>
                <w:top w:val="nil"/>
                <w:left w:val="nil"/>
                <w:bottom w:val="nil"/>
                <w:right w:val="nil"/>
                <w:between w:val="nil"/>
              </w:pBdr>
              <w:spacing w:line="257" w:lineRule="auto"/>
              <w:rPr>
                <w:rFonts w:ascii="Arial" w:eastAsia="Arial" w:hAnsi="Arial" w:cs="Arial"/>
                <w:color w:val="000000"/>
              </w:rPr>
            </w:pPr>
            <w:r>
              <w:rPr>
                <w:rFonts w:ascii="Arial" w:eastAsia="Arial" w:hAnsi="Arial" w:cs="Arial"/>
                <w:color w:val="000000"/>
              </w:rPr>
              <w:t>Calculations of the life-cycle cost effectiveness of the measures recommended in the HES report (See Question 12, SectionC)</w:t>
            </w:r>
          </w:p>
          <w:p w14:paraId="6836DDF5" w14:textId="77777777" w:rsidR="00A60630" w:rsidRDefault="00FD56C9">
            <w:pPr>
              <w:numPr>
                <w:ilvl w:val="0"/>
                <w:numId w:val="2"/>
              </w:numPr>
              <w:pBdr>
                <w:top w:val="nil"/>
                <w:left w:val="nil"/>
                <w:bottom w:val="nil"/>
                <w:right w:val="nil"/>
                <w:between w:val="nil"/>
              </w:pBdr>
              <w:spacing w:line="257" w:lineRule="auto"/>
              <w:rPr>
                <w:rFonts w:ascii="Arial" w:eastAsia="Arial" w:hAnsi="Arial" w:cs="Arial"/>
                <w:color w:val="000000"/>
              </w:rPr>
            </w:pPr>
            <w:r>
              <w:rPr>
                <w:rFonts w:ascii="Arial" w:eastAsia="Arial" w:hAnsi="Arial" w:cs="Arial"/>
                <w:color w:val="000000"/>
              </w:rPr>
              <w:t>Recommendation of controls and management systems to reduce or redistribute peak energy consumption. This may include, but is not limited to, recommending smart thermostats, appliances with timers, and wifi water heaters.}</w:t>
            </w:r>
          </w:p>
          <w:p w14:paraId="1BEDF592" w14:textId="77777777" w:rsidR="00A60630" w:rsidRDefault="00A60630">
            <w:pPr>
              <w:spacing w:line="257" w:lineRule="auto"/>
              <w:rPr>
                <w:rFonts w:ascii="Arial" w:eastAsia="Arial" w:hAnsi="Arial" w:cs="Arial"/>
              </w:rPr>
            </w:pPr>
          </w:p>
          <w:p w14:paraId="12F2954B" w14:textId="77777777" w:rsidR="00A60630" w:rsidRDefault="00FD56C9">
            <w:pPr>
              <w:spacing w:line="257" w:lineRule="auto"/>
              <w:rPr>
                <w:rFonts w:ascii="Arial" w:eastAsia="Arial" w:hAnsi="Arial" w:cs="Arial"/>
                <w:color w:val="FF0000"/>
              </w:rPr>
            </w:pPr>
            <w:r>
              <w:rPr>
                <w:rFonts w:ascii="Arial" w:eastAsia="Arial" w:hAnsi="Arial" w:cs="Arial"/>
                <w:color w:val="FF0000"/>
              </w:rPr>
              <w:t>[For 4+unit multifamily buildings:</w:t>
            </w:r>
          </w:p>
          <w:p w14:paraId="7F561B02" w14:textId="77777777" w:rsidR="00A60630" w:rsidRDefault="00FD56C9">
            <w:pPr>
              <w:spacing w:after="1" w:line="258" w:lineRule="auto"/>
              <w:ind w:right="27"/>
              <w:rPr>
                <w:rFonts w:ascii="Arial" w:eastAsia="Arial" w:hAnsi="Arial" w:cs="Arial"/>
              </w:rPr>
            </w:pPr>
            <w:r>
              <w:rPr>
                <w:rFonts w:ascii="Arial" w:eastAsia="Arial" w:hAnsi="Arial" w:cs="Arial"/>
              </w:rPr>
              <w:t xml:space="preserve">1) Use the same evaluation criteria as the Home Performance Assessment used in the Energy Star program. </w:t>
            </w:r>
          </w:p>
          <w:p w14:paraId="255727D8" w14:textId="77777777" w:rsidR="00A60630" w:rsidRDefault="00FD56C9">
            <w:pPr>
              <w:spacing w:after="1" w:line="258" w:lineRule="auto"/>
              <w:ind w:right="27"/>
              <w:rPr>
                <w:rFonts w:ascii="Arial" w:eastAsia="Arial" w:hAnsi="Arial" w:cs="Arial"/>
              </w:rPr>
            </w:pPr>
            <w:r>
              <w:rPr>
                <w:rFonts w:ascii="Arial" w:eastAsia="Arial" w:hAnsi="Arial" w:cs="Arial"/>
              </w:rPr>
              <w:lastRenderedPageBreak/>
              <w:t xml:space="preserve">2) Identify and recommend lifecycle cost-effective opportunities to reduce the energy consumption of the facility of the eligible recipient.  </w:t>
            </w:r>
          </w:p>
          <w:p w14:paraId="1BA056B9" w14:textId="77777777" w:rsidR="00A60630" w:rsidRDefault="00FD56C9">
            <w:pPr>
              <w:spacing w:after="1" w:line="260" w:lineRule="auto"/>
              <w:ind w:right="303"/>
              <w:rPr>
                <w:rFonts w:ascii="Arial" w:eastAsia="Arial" w:hAnsi="Arial" w:cs="Arial"/>
              </w:rPr>
            </w:pPr>
            <w:r>
              <w:rPr>
                <w:rFonts w:ascii="Arial" w:eastAsia="Arial" w:hAnsi="Arial" w:cs="Arial"/>
              </w:rPr>
              <w:t xml:space="preserve">3) Recommend controls and management systems to reduce or redistribute peak energy consumption.  </w:t>
            </w:r>
          </w:p>
          <w:p w14:paraId="712BB518" w14:textId="77777777" w:rsidR="00A60630" w:rsidRDefault="00FD56C9">
            <w:pPr>
              <w:spacing w:after="1" w:line="260" w:lineRule="auto"/>
              <w:ind w:right="303"/>
              <w:rPr>
                <w:rFonts w:ascii="Arial" w:eastAsia="Arial" w:hAnsi="Arial" w:cs="Arial"/>
              </w:rPr>
            </w:pPr>
            <w:r>
              <w:rPr>
                <w:rFonts w:ascii="Arial" w:eastAsia="Arial" w:hAnsi="Arial" w:cs="Arial"/>
              </w:rPr>
              <w:t xml:space="preserve">4) Compare the energy consumption of the residential building of the eligible recipient to comparable residential buildings in the same geographic area.  </w:t>
            </w:r>
          </w:p>
          <w:p w14:paraId="34CF5B45" w14:textId="77777777" w:rsidR="00A60630" w:rsidRDefault="00FD56C9">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5) Provide a Home Energy Score, or equivalent score (as determined by the Secretary), for the residential building of the eligible recipient by using DOE’s Home Energy Score Tool or an equivalent scoring tool.</w:t>
            </w:r>
          </w:p>
          <w:p w14:paraId="11ED4228" w14:textId="77777777" w:rsidR="00A60630" w:rsidRDefault="00FD56C9">
            <w:pPr>
              <w:spacing w:line="253" w:lineRule="auto"/>
              <w:rPr>
                <w:rFonts w:ascii="Arial" w:eastAsia="Arial" w:hAnsi="Arial" w:cs="Arial"/>
              </w:rPr>
            </w:pPr>
            <w:r>
              <w:rPr>
                <w:rFonts w:ascii="Arial" w:eastAsia="Arial" w:hAnsi="Arial" w:cs="Arial"/>
              </w:rPr>
              <w:t>Note: The Audit Template tool fully satisfies requirements #1-3 and #5 but does not fully satisfy requirement #4. To meet this, DOE recommends states have auditors supplement the Audit Template report with the comparison output of th</w:t>
            </w:r>
            <w:hyperlink r:id="rId9">
              <w:r>
                <w:rPr>
                  <w:rFonts w:ascii="Arial" w:eastAsia="Arial" w:hAnsi="Arial" w:cs="Arial"/>
                </w:rPr>
                <w:t xml:space="preserve">e </w:t>
              </w:r>
            </w:hyperlink>
            <w:hyperlink r:id="rId10">
              <w:r>
                <w:rPr>
                  <w:rFonts w:ascii="Arial" w:eastAsia="Arial" w:hAnsi="Arial" w:cs="Arial"/>
                  <w:color w:val="008080"/>
                  <w:u w:val="single"/>
                </w:rPr>
                <w:t>Energy Star Portfolio Manager platform</w:t>
              </w:r>
            </w:hyperlink>
            <w:hyperlink r:id="rId11">
              <w:r>
                <w:rPr>
                  <w:rFonts w:ascii="Arial" w:eastAsia="Arial" w:hAnsi="Arial" w:cs="Arial"/>
                </w:rPr>
                <w:t xml:space="preserve"> w</w:t>
              </w:r>
            </w:hyperlink>
            <w:r>
              <w:rPr>
                <w:rFonts w:ascii="Arial" w:eastAsia="Arial" w:hAnsi="Arial" w:cs="Arial"/>
              </w:rPr>
              <w:t xml:space="preserve">hich compares multifamily buildings to comparable multifamily buildings nationally.  </w:t>
            </w:r>
          </w:p>
          <w:p w14:paraId="560FB513" w14:textId="77777777" w:rsidR="00A60630" w:rsidRDefault="00FD56C9">
            <w:pPr>
              <w:spacing w:after="54" w:line="259" w:lineRule="auto"/>
              <w:rPr>
                <w:rFonts w:ascii="Arial" w:eastAsia="Arial" w:hAnsi="Arial" w:cs="Arial"/>
              </w:rPr>
            </w:pPr>
            <w:r>
              <w:rPr>
                <w:rFonts w:ascii="Arial" w:eastAsia="Arial" w:hAnsi="Arial" w:cs="Arial"/>
              </w:rPr>
              <w:t>Note2: Regarding requirement #5: DOE considers the “Annual Energy &amp; Costs Savings" and "Payback with Incentives" outputs summary in Audit Template an equivalent score to the Home Energy Score.</w:t>
            </w:r>
          </w:p>
        </w:tc>
      </w:tr>
      <w:tr w:rsidR="00A60630" w14:paraId="7B864A26" w14:textId="77777777">
        <w:tc>
          <w:tcPr>
            <w:tcW w:w="1745" w:type="dxa"/>
          </w:tcPr>
          <w:p w14:paraId="78E62136" w14:textId="77777777" w:rsidR="00A60630" w:rsidRDefault="00FD56C9">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lastRenderedPageBreak/>
              <w:t>Eligible Borrower</w:t>
            </w:r>
          </w:p>
        </w:tc>
        <w:tc>
          <w:tcPr>
            <w:tcW w:w="8420" w:type="dxa"/>
          </w:tcPr>
          <w:p w14:paraId="2F95102D" w14:textId="77777777" w:rsidR="00A60630" w:rsidRDefault="00FD56C9">
            <w:pPr>
              <w:spacing w:line="240" w:lineRule="auto"/>
              <w:rPr>
                <w:rFonts w:ascii="Arial" w:eastAsia="Arial" w:hAnsi="Arial" w:cs="Arial"/>
                <w:i/>
                <w:iCs/>
                <w:color w:val="FF0000"/>
                <w:u w:val="single"/>
              </w:rPr>
            </w:pPr>
            <w:r>
              <w:rPr>
                <w:rFonts w:ascii="Arial" w:eastAsia="Arial" w:hAnsi="Arial" w:cs="Arial"/>
                <w:i/>
                <w:iCs/>
                <w:color w:val="FF0000"/>
              </w:rPr>
              <w:t>(Modify if necessary, based on target market(s</w:t>
            </w:r>
            <w:r>
              <w:rPr>
                <w:rFonts w:ascii="Arial" w:eastAsia="Arial" w:hAnsi="Arial" w:cs="Arial"/>
                <w:i/>
                <w:iCs/>
                <w:color w:val="FF0000"/>
                <w:u w:val="single"/>
              </w:rPr>
              <w:t>))</w:t>
            </w:r>
          </w:p>
          <w:p w14:paraId="049A560F" w14:textId="77777777" w:rsidR="00A60630" w:rsidRDefault="00FD56C9">
            <w:pPr>
              <w:spacing w:line="240" w:lineRule="auto"/>
              <w:rPr>
                <w:rFonts w:ascii="Arial" w:eastAsia="Arial" w:hAnsi="Arial" w:cs="Arial"/>
                <w:color w:val="FF0000"/>
              </w:rPr>
            </w:pPr>
            <w:r>
              <w:rPr>
                <w:rFonts w:ascii="Arial" w:eastAsia="Arial" w:hAnsi="Arial" w:cs="Arial"/>
                <w:color w:val="FF0000"/>
                <w:u w:val="single"/>
              </w:rPr>
              <w:t>Commercial Buildings</w:t>
            </w:r>
            <w:r>
              <w:rPr>
                <w:rFonts w:ascii="Arial" w:eastAsia="Arial" w:hAnsi="Arial" w:cs="Arial"/>
                <w:color w:val="FF0000"/>
              </w:rPr>
              <w:t>:</w:t>
            </w:r>
          </w:p>
          <w:p w14:paraId="2FE42A68" w14:textId="77777777" w:rsidR="00A60630" w:rsidRDefault="00FD56C9">
            <w:pPr>
              <w:spacing w:line="240" w:lineRule="auto"/>
              <w:rPr>
                <w:rFonts w:ascii="Arial" w:eastAsia="Arial" w:hAnsi="Arial" w:cs="Arial"/>
              </w:rPr>
            </w:pPr>
            <w:r>
              <w:rPr>
                <w:rFonts w:ascii="Arial" w:eastAsia="Arial" w:hAnsi="Arial" w:cs="Arial"/>
              </w:rPr>
              <w:t xml:space="preserve">A business or organization that owns or operates a commercial building/structure (includes publicly and privately owned buildings).  If the borrower is a business, they must satisfy both of the following: </w:t>
            </w:r>
          </w:p>
          <w:p w14:paraId="5F3BB105" w14:textId="77777777" w:rsidR="00A60630" w:rsidRDefault="00FD56C9">
            <w:pPr>
              <w:numPr>
                <w:ilvl w:val="0"/>
                <w:numId w:val="2"/>
              </w:numPr>
              <w:spacing w:line="240" w:lineRule="auto"/>
            </w:pPr>
            <w:r>
              <w:rPr>
                <w:rFonts w:ascii="Arial" w:eastAsia="Arial" w:hAnsi="Arial" w:cs="Arial"/>
              </w:rPr>
              <w:t xml:space="preserve">Conducts a majority of its business in the </w:t>
            </w:r>
            <w:r>
              <w:rPr>
                <w:rFonts w:ascii="Arial" w:eastAsia="Arial" w:hAnsi="Arial" w:cs="Arial"/>
                <w:color w:val="FF0000"/>
              </w:rPr>
              <w:t>[State]</w:t>
            </w:r>
            <w:r>
              <w:rPr>
                <w:rFonts w:ascii="Arial" w:eastAsia="Arial" w:hAnsi="Arial" w:cs="Arial"/>
              </w:rPr>
              <w:t xml:space="preserve">. </w:t>
            </w:r>
          </w:p>
          <w:p w14:paraId="1002F379" w14:textId="77777777" w:rsidR="00A60630" w:rsidRDefault="00FD56C9">
            <w:pPr>
              <w:numPr>
                <w:ilvl w:val="0"/>
                <w:numId w:val="2"/>
              </w:numPr>
              <w:spacing w:line="240" w:lineRule="auto"/>
            </w:pPr>
            <w:r>
              <w:rPr>
                <w:rFonts w:ascii="Arial" w:eastAsia="Arial" w:hAnsi="Arial" w:cs="Arial"/>
              </w:rPr>
              <w:t xml:space="preserve">Owns or operates one or more commercial buildings or commercial space within a building. </w:t>
            </w:r>
          </w:p>
          <w:p w14:paraId="5C431696" w14:textId="77777777" w:rsidR="00A60630" w:rsidRDefault="00FD56C9">
            <w:pPr>
              <w:spacing w:line="240" w:lineRule="auto"/>
              <w:rPr>
                <w:rFonts w:ascii="Arial" w:eastAsia="Arial" w:hAnsi="Arial" w:cs="Arial"/>
                <w:color w:val="FF0000"/>
              </w:rPr>
            </w:pPr>
            <w:r>
              <w:rPr>
                <w:rFonts w:ascii="Arial" w:eastAsia="Arial" w:hAnsi="Arial" w:cs="Arial"/>
                <w:color w:val="FF0000"/>
                <w:u w:val="single"/>
              </w:rPr>
              <w:t>Single-family Residential Dwellings</w:t>
            </w:r>
            <w:r>
              <w:rPr>
                <w:rFonts w:ascii="Arial" w:eastAsia="Arial" w:hAnsi="Arial" w:cs="Arial"/>
                <w:color w:val="FF0000"/>
              </w:rPr>
              <w:t>:</w:t>
            </w:r>
          </w:p>
          <w:p w14:paraId="14C66A16" w14:textId="77777777" w:rsidR="00A60630" w:rsidRDefault="00FD56C9">
            <w:pPr>
              <w:numPr>
                <w:ilvl w:val="0"/>
                <w:numId w:val="8"/>
              </w:numPr>
              <w:spacing w:line="240" w:lineRule="auto"/>
              <w:ind w:left="360"/>
            </w:pPr>
            <w:r>
              <w:rPr>
                <w:rFonts w:ascii="Arial" w:eastAsia="Arial" w:hAnsi="Arial" w:cs="Arial"/>
              </w:rPr>
              <w:t xml:space="preserve">An individual who owns one of the following: </w:t>
            </w:r>
          </w:p>
          <w:p w14:paraId="1AE08F8F" w14:textId="77777777" w:rsidR="00A60630" w:rsidRDefault="00FD56C9">
            <w:pPr>
              <w:numPr>
                <w:ilvl w:val="1"/>
                <w:numId w:val="2"/>
              </w:numPr>
              <w:spacing w:line="240" w:lineRule="auto"/>
              <w:ind w:left="720"/>
            </w:pPr>
            <w:r>
              <w:rPr>
                <w:rFonts w:ascii="Arial" w:eastAsia="Arial" w:hAnsi="Arial" w:cs="Arial"/>
              </w:rPr>
              <w:t xml:space="preserve">A single-family home. </w:t>
            </w:r>
          </w:p>
          <w:p w14:paraId="33F011F4" w14:textId="77777777" w:rsidR="00A60630" w:rsidRDefault="00FD56C9">
            <w:pPr>
              <w:numPr>
                <w:ilvl w:val="1"/>
                <w:numId w:val="2"/>
              </w:numPr>
              <w:spacing w:line="240" w:lineRule="auto"/>
              <w:ind w:left="720"/>
            </w:pPr>
            <w:r>
              <w:rPr>
                <w:rFonts w:ascii="Arial" w:eastAsia="Arial" w:hAnsi="Arial" w:cs="Arial"/>
              </w:rPr>
              <w:t xml:space="preserve">A condominium or duplex. </w:t>
            </w:r>
          </w:p>
          <w:p w14:paraId="1BED8F8A" w14:textId="77777777" w:rsidR="00A60630" w:rsidRDefault="00FD56C9">
            <w:pPr>
              <w:numPr>
                <w:ilvl w:val="1"/>
                <w:numId w:val="2"/>
              </w:numPr>
              <w:spacing w:line="240" w:lineRule="auto"/>
              <w:ind w:left="720"/>
            </w:pPr>
            <w:r>
              <w:rPr>
                <w:rFonts w:ascii="Arial" w:eastAsia="Arial" w:hAnsi="Arial" w:cs="Arial"/>
              </w:rPr>
              <w:t xml:space="preserve">A manufactured housing unit. </w:t>
            </w:r>
          </w:p>
          <w:p w14:paraId="03A86911" w14:textId="77777777" w:rsidR="00A60630" w:rsidRDefault="00FD56C9">
            <w:pPr>
              <w:numPr>
                <w:ilvl w:val="0"/>
                <w:numId w:val="8"/>
              </w:numPr>
              <w:spacing w:line="240" w:lineRule="auto"/>
              <w:ind w:left="360"/>
            </w:pPr>
            <w:r>
              <w:rPr>
                <w:rFonts w:ascii="Arial" w:eastAsia="Arial" w:hAnsi="Arial" w:cs="Arial"/>
              </w:rPr>
              <w:t>A business that owns or operates a multifamily housing facility.</w:t>
            </w:r>
          </w:p>
          <w:p w14:paraId="6ED37309" w14:textId="77777777" w:rsidR="00A60630" w:rsidRDefault="00FD56C9">
            <w:pPr>
              <w:spacing w:line="240" w:lineRule="auto"/>
              <w:rPr>
                <w:rFonts w:ascii="Arial" w:eastAsia="Arial" w:hAnsi="Arial" w:cs="Arial"/>
                <w:color w:val="FF0000"/>
                <w:u w:val="single"/>
              </w:rPr>
            </w:pPr>
            <w:r>
              <w:rPr>
                <w:rFonts w:ascii="Arial" w:eastAsia="Arial" w:hAnsi="Arial" w:cs="Arial"/>
                <w:color w:val="FF0000"/>
                <w:u w:val="single"/>
              </w:rPr>
              <w:t>Multifamily Housing Units:</w:t>
            </w:r>
          </w:p>
          <w:p w14:paraId="40F11382" w14:textId="77777777" w:rsidR="00A60630" w:rsidRDefault="00FD56C9">
            <w:pPr>
              <w:spacing w:line="240" w:lineRule="auto"/>
              <w:rPr>
                <w:rFonts w:ascii="Arial" w:eastAsia="Arial" w:hAnsi="Arial" w:cs="Arial"/>
              </w:rPr>
            </w:pPr>
            <w:r>
              <w:rPr>
                <w:rFonts w:ascii="Arial" w:eastAsia="Arial" w:hAnsi="Arial" w:cs="Arial"/>
              </w:rPr>
              <w:t>A borrower (includes business, public entity, non-profit, and individual) that owns or operates a multifamily housing facility.</w:t>
            </w:r>
          </w:p>
        </w:tc>
      </w:tr>
      <w:tr w:rsidR="00A60630" w14:paraId="19CA0D58" w14:textId="77777777">
        <w:tc>
          <w:tcPr>
            <w:tcW w:w="1745" w:type="dxa"/>
          </w:tcPr>
          <w:p w14:paraId="69D79188" w14:textId="77777777" w:rsidR="00A60630" w:rsidRDefault="00FD56C9">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Eligible Energy Audit Subsidy Requirements</w:t>
            </w:r>
          </w:p>
          <w:p w14:paraId="0DF706D2" w14:textId="77777777" w:rsidR="00A60630" w:rsidRDefault="00FD56C9">
            <w:pPr>
              <w:pBdr>
                <w:top w:val="nil"/>
                <w:left w:val="nil"/>
                <w:bottom w:val="nil"/>
                <w:right w:val="nil"/>
                <w:between w:val="nil"/>
              </w:pBdr>
              <w:spacing w:line="240" w:lineRule="auto"/>
              <w:rPr>
                <w:rFonts w:ascii="Arial" w:eastAsia="Arial" w:hAnsi="Arial" w:cs="Arial"/>
                <w:color w:val="FF0000"/>
              </w:rPr>
            </w:pPr>
            <w:r>
              <w:rPr>
                <w:rFonts w:ascii="Arial" w:eastAsia="Arial" w:hAnsi="Arial" w:cs="Arial"/>
                <w:color w:val="FF0000"/>
              </w:rPr>
              <w:t>(if applicable)</w:t>
            </w:r>
          </w:p>
        </w:tc>
        <w:tc>
          <w:tcPr>
            <w:tcW w:w="8420" w:type="dxa"/>
          </w:tcPr>
          <w:p w14:paraId="58CD55CB" w14:textId="77777777" w:rsidR="00A60630" w:rsidRDefault="00FD56C9">
            <w:pPr>
              <w:spacing w:line="240" w:lineRule="auto"/>
              <w:rPr>
                <w:rFonts w:ascii="Arial" w:eastAsia="Arial" w:hAnsi="Arial" w:cs="Arial"/>
                <w:color w:val="FF0000"/>
              </w:rPr>
            </w:pPr>
            <w:r>
              <w:rPr>
                <w:rFonts w:ascii="Arial" w:eastAsia="Arial" w:hAnsi="Arial" w:cs="Arial"/>
                <w:color w:val="FF0000"/>
              </w:rPr>
              <w:t>(Modify if necessary based on target market(s))</w:t>
            </w:r>
          </w:p>
          <w:p w14:paraId="58612CBA" w14:textId="77777777" w:rsidR="00A60630" w:rsidRDefault="00FD56C9">
            <w:pPr>
              <w:spacing w:line="240" w:lineRule="auto"/>
              <w:rPr>
                <w:rFonts w:ascii="Arial" w:eastAsia="Arial" w:hAnsi="Arial" w:cs="Arial"/>
                <w:color w:val="FF0000"/>
                <w:u w:val="single"/>
              </w:rPr>
            </w:pPr>
            <w:r>
              <w:rPr>
                <w:rFonts w:ascii="Arial" w:eastAsia="Arial" w:hAnsi="Arial" w:cs="Arial"/>
                <w:color w:val="FF0000"/>
                <w:u w:val="single"/>
              </w:rPr>
              <w:t>Commercial:</w:t>
            </w:r>
          </w:p>
          <w:p w14:paraId="22FDCF90" w14:textId="77777777" w:rsidR="00A60630" w:rsidRDefault="00FD56C9">
            <w:pPr>
              <w:spacing w:line="240" w:lineRule="auto"/>
              <w:rPr>
                <w:rFonts w:ascii="Arial" w:eastAsia="Arial" w:hAnsi="Arial" w:cs="Arial"/>
              </w:rPr>
            </w:pPr>
            <w:r>
              <w:rPr>
                <w:rFonts w:ascii="Arial" w:eastAsia="Arial" w:hAnsi="Arial" w:cs="Arial"/>
              </w:rPr>
              <w:t>An Eligible Borrower with fewer than 500 employees.</w:t>
            </w:r>
          </w:p>
          <w:p w14:paraId="7E1081AE" w14:textId="77777777" w:rsidR="00A60630" w:rsidRDefault="00FD56C9">
            <w:pPr>
              <w:spacing w:line="240" w:lineRule="auto"/>
              <w:rPr>
                <w:rFonts w:ascii="Arial" w:eastAsia="Arial" w:hAnsi="Arial" w:cs="Arial"/>
                <w:color w:val="FF0000"/>
                <w:u w:val="single"/>
              </w:rPr>
            </w:pPr>
            <w:r>
              <w:rPr>
                <w:rFonts w:ascii="Arial" w:eastAsia="Arial" w:hAnsi="Arial" w:cs="Arial"/>
                <w:color w:val="FF0000"/>
                <w:u w:val="single"/>
              </w:rPr>
              <w:t xml:space="preserve">Single-family residential: </w:t>
            </w:r>
          </w:p>
          <w:p w14:paraId="5A4BDD28" w14:textId="77777777" w:rsidR="00A60630" w:rsidRDefault="00FD56C9">
            <w:pPr>
              <w:spacing w:line="240" w:lineRule="auto"/>
              <w:rPr>
                <w:rFonts w:ascii="Arial" w:eastAsia="Arial" w:hAnsi="Arial" w:cs="Arial"/>
              </w:rPr>
            </w:pPr>
            <w:r>
              <w:rPr>
                <w:rFonts w:ascii="Arial" w:eastAsia="Arial" w:hAnsi="Arial" w:cs="Arial"/>
              </w:rPr>
              <w:t>A low-income individual (as defined in paragraph 36 of 29 U.S.C. 3102) that owns a single family residential home.</w:t>
            </w:r>
          </w:p>
          <w:p w14:paraId="2B702591" w14:textId="77777777" w:rsidR="00A60630" w:rsidRDefault="00FD56C9">
            <w:pPr>
              <w:spacing w:line="240" w:lineRule="auto"/>
              <w:rPr>
                <w:rFonts w:ascii="Arial" w:eastAsia="Arial" w:hAnsi="Arial" w:cs="Arial"/>
                <w:color w:val="FF0000"/>
              </w:rPr>
            </w:pPr>
            <w:r>
              <w:rPr>
                <w:rFonts w:ascii="Arial" w:eastAsia="Arial" w:hAnsi="Arial" w:cs="Arial"/>
                <w:color w:val="FF0000"/>
                <w:u w:val="single"/>
              </w:rPr>
              <w:t>Multifamily Housing Units:</w:t>
            </w:r>
          </w:p>
          <w:p w14:paraId="085E03F2" w14:textId="77777777" w:rsidR="00A60630" w:rsidRDefault="00FD56C9">
            <w:pPr>
              <w:spacing w:line="240" w:lineRule="auto"/>
              <w:rPr>
                <w:rFonts w:ascii="Arial" w:eastAsia="Arial" w:hAnsi="Arial" w:cs="Arial"/>
                <w:color w:val="FF0000"/>
              </w:rPr>
            </w:pPr>
            <w:r>
              <w:rPr>
                <w:rFonts w:ascii="Arial" w:eastAsia="Arial" w:hAnsi="Arial" w:cs="Arial"/>
              </w:rPr>
              <w:t>A low-income individual (as defined in paragraph 36 of 29 U.S.C. 3102) that owns a multifamily housing facilit</w:t>
            </w:r>
          </w:p>
        </w:tc>
      </w:tr>
      <w:tr w:rsidR="00A60630" w14:paraId="7BCB631D" w14:textId="77777777">
        <w:tc>
          <w:tcPr>
            <w:tcW w:w="1745" w:type="dxa"/>
          </w:tcPr>
          <w:p w14:paraId="776EA5CF" w14:textId="77777777" w:rsidR="00A60630" w:rsidRDefault="00FD56C9">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Minimum Loan Underwriting Criteria</w:t>
            </w:r>
          </w:p>
        </w:tc>
        <w:tc>
          <w:tcPr>
            <w:tcW w:w="8420" w:type="dxa"/>
          </w:tcPr>
          <w:p w14:paraId="6ADBE2EB" w14:textId="77777777" w:rsidR="00A60630" w:rsidRDefault="00FD56C9">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As set by Program Lender, and as may be approved by Program Sponsor</w:t>
            </w:r>
          </w:p>
          <w:p w14:paraId="109D40CB" w14:textId="77777777" w:rsidR="00A60630" w:rsidRDefault="00A60630">
            <w:pPr>
              <w:pBdr>
                <w:top w:val="nil"/>
                <w:left w:val="nil"/>
                <w:bottom w:val="nil"/>
                <w:right w:val="nil"/>
                <w:between w:val="nil"/>
              </w:pBdr>
              <w:spacing w:line="240" w:lineRule="auto"/>
              <w:rPr>
                <w:rFonts w:ascii="Arial" w:eastAsia="Arial" w:hAnsi="Arial" w:cs="Arial"/>
                <w:color w:val="000000"/>
              </w:rPr>
            </w:pPr>
          </w:p>
        </w:tc>
      </w:tr>
      <w:tr w:rsidR="00A60630" w14:paraId="3FC3A3C9" w14:textId="77777777">
        <w:tc>
          <w:tcPr>
            <w:tcW w:w="1745" w:type="dxa"/>
          </w:tcPr>
          <w:p w14:paraId="44A658A7" w14:textId="77777777" w:rsidR="00A60630" w:rsidRDefault="00FD56C9">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Loan Terms</w:t>
            </w:r>
          </w:p>
        </w:tc>
        <w:tc>
          <w:tcPr>
            <w:tcW w:w="8420" w:type="dxa"/>
          </w:tcPr>
          <w:p w14:paraId="3CA3E818" w14:textId="77777777" w:rsidR="00A60630" w:rsidRDefault="00FD56C9">
            <w:pPr>
              <w:numPr>
                <w:ilvl w:val="0"/>
                <w:numId w:val="6"/>
              </w:numPr>
              <w:pBdr>
                <w:top w:val="nil"/>
                <w:left w:val="nil"/>
                <w:bottom w:val="nil"/>
                <w:right w:val="nil"/>
                <w:between w:val="nil"/>
              </w:pBdr>
              <w:spacing w:line="240" w:lineRule="auto"/>
            </w:pPr>
            <w:r>
              <w:rPr>
                <w:rFonts w:ascii="Arial" w:eastAsia="Arial" w:hAnsi="Arial" w:cs="Arial"/>
                <w:color w:val="000000"/>
              </w:rPr>
              <w:t>Minimum Loan Amount: As set by Program Lender.</w:t>
            </w:r>
          </w:p>
          <w:p w14:paraId="770BA9FF" w14:textId="77777777" w:rsidR="00A60630" w:rsidRDefault="00FD56C9">
            <w:pPr>
              <w:numPr>
                <w:ilvl w:val="0"/>
                <w:numId w:val="6"/>
              </w:numPr>
              <w:pBdr>
                <w:top w:val="nil"/>
                <w:left w:val="nil"/>
                <w:bottom w:val="nil"/>
                <w:right w:val="nil"/>
                <w:between w:val="nil"/>
              </w:pBdr>
              <w:spacing w:line="240" w:lineRule="auto"/>
            </w:pPr>
            <w:r>
              <w:rPr>
                <w:rFonts w:ascii="Arial" w:eastAsia="Arial" w:hAnsi="Arial" w:cs="Arial"/>
                <w:color w:val="000000"/>
              </w:rPr>
              <w:t>Maximum Loan Amount: As set by Program Lender.</w:t>
            </w:r>
          </w:p>
          <w:p w14:paraId="15858E34" w14:textId="77777777" w:rsidR="00A60630" w:rsidRDefault="00FD56C9">
            <w:pPr>
              <w:numPr>
                <w:ilvl w:val="0"/>
                <w:numId w:val="6"/>
              </w:numPr>
              <w:pBdr>
                <w:top w:val="nil"/>
                <w:left w:val="nil"/>
                <w:bottom w:val="nil"/>
                <w:right w:val="nil"/>
                <w:between w:val="nil"/>
              </w:pBdr>
              <w:spacing w:line="240" w:lineRule="auto"/>
            </w:pPr>
            <w:r>
              <w:rPr>
                <w:rFonts w:ascii="Arial" w:eastAsia="Arial" w:hAnsi="Arial" w:cs="Arial"/>
                <w:color w:val="000000"/>
              </w:rPr>
              <w:lastRenderedPageBreak/>
              <w:t>Maximum Loan Term is the maximum expected useful life of the financed improvements, not to exceed 15 years.</w:t>
            </w:r>
          </w:p>
          <w:p w14:paraId="3FAD3064" w14:textId="77777777" w:rsidR="00A60630" w:rsidRDefault="00FD56C9">
            <w:pPr>
              <w:numPr>
                <w:ilvl w:val="0"/>
                <w:numId w:val="6"/>
              </w:numPr>
              <w:pBdr>
                <w:top w:val="nil"/>
                <w:left w:val="nil"/>
                <w:bottom w:val="nil"/>
                <w:right w:val="nil"/>
                <w:between w:val="nil"/>
              </w:pBdr>
              <w:spacing w:line="240" w:lineRule="auto"/>
            </w:pPr>
            <w:r>
              <w:rPr>
                <w:rFonts w:ascii="Arial" w:eastAsia="Arial" w:hAnsi="Arial" w:cs="Arial"/>
                <w:color w:val="000000"/>
              </w:rPr>
              <w:t>Loans may be issued at fixed or variable interest rate.</w:t>
            </w:r>
          </w:p>
          <w:p w14:paraId="72263B73" w14:textId="77777777" w:rsidR="00A60630" w:rsidRDefault="00FD56C9">
            <w:pPr>
              <w:numPr>
                <w:ilvl w:val="0"/>
                <w:numId w:val="6"/>
              </w:numPr>
              <w:pBdr>
                <w:top w:val="nil"/>
                <w:left w:val="nil"/>
                <w:bottom w:val="nil"/>
                <w:right w:val="nil"/>
                <w:between w:val="nil"/>
              </w:pBdr>
              <w:spacing w:line="240" w:lineRule="auto"/>
            </w:pPr>
            <w:r>
              <w:rPr>
                <w:rFonts w:ascii="Arial" w:eastAsia="Arial" w:hAnsi="Arial" w:cs="Arial"/>
                <w:color w:val="000000"/>
              </w:rPr>
              <w:t>Interest rate:  As set by Program Lender, and subject to any maximum interest rate as may be set by Program.</w:t>
            </w:r>
          </w:p>
        </w:tc>
      </w:tr>
      <w:tr w:rsidR="00A60630" w14:paraId="482648BA" w14:textId="77777777">
        <w:tc>
          <w:tcPr>
            <w:tcW w:w="1745" w:type="dxa"/>
          </w:tcPr>
          <w:p w14:paraId="4F6F3D58" w14:textId="77777777" w:rsidR="00A60630" w:rsidRDefault="00FD56C9">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lastRenderedPageBreak/>
              <w:t>Interest Rate Buydown</w:t>
            </w:r>
          </w:p>
        </w:tc>
        <w:tc>
          <w:tcPr>
            <w:tcW w:w="8420" w:type="dxa"/>
          </w:tcPr>
          <w:p w14:paraId="79914550" w14:textId="77777777" w:rsidR="00A60630" w:rsidRDefault="00FD56C9">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 xml:space="preserve">The Interest Rate Buydown payment shall be calculated Program Lender as the amount required to prepay all interest due on the loan, which shall be agreed to by Program Sponsor.  Generally, this will be calculated as the present value of the difference between (a) the monthly loan payment with a </w:t>
            </w:r>
            <w:r>
              <w:rPr>
                <w:rFonts w:ascii="Arial" w:eastAsia="Arial" w:hAnsi="Arial" w:cs="Arial"/>
                <w:color w:val="FF0000"/>
              </w:rPr>
              <w:t>[2%]</w:t>
            </w:r>
            <w:r>
              <w:rPr>
                <w:rFonts w:ascii="Arial" w:eastAsia="Arial" w:hAnsi="Arial" w:cs="Arial"/>
                <w:color w:val="000000"/>
              </w:rPr>
              <w:t xml:space="preserve"> interest rate and (b) what the monthly loan payment would have been at Program Lender’s normal and customary interest rate, discounted for the term of the loan using Program Lender’s normal and customary rate, unless the Program Lender proposes a different methodology which is accepted by Program Sponsor. </w:t>
            </w:r>
          </w:p>
          <w:p w14:paraId="551D00ED" w14:textId="77777777" w:rsidR="00A60630" w:rsidRDefault="00A60630">
            <w:pPr>
              <w:pBdr>
                <w:top w:val="nil"/>
                <w:left w:val="nil"/>
                <w:bottom w:val="nil"/>
                <w:right w:val="nil"/>
                <w:between w:val="nil"/>
              </w:pBdr>
              <w:spacing w:line="240" w:lineRule="auto"/>
              <w:rPr>
                <w:rFonts w:ascii="Arial" w:eastAsia="Arial" w:hAnsi="Arial" w:cs="Arial"/>
                <w:color w:val="000000"/>
              </w:rPr>
            </w:pPr>
          </w:p>
          <w:p w14:paraId="54B96F78" w14:textId="77777777" w:rsidR="00A60630" w:rsidRDefault="00FD56C9">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Optional:</w:t>
            </w:r>
          </w:p>
          <w:p w14:paraId="68F63398" w14:textId="77777777" w:rsidR="00A60630" w:rsidRDefault="00FD56C9">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 xml:space="preserve">If the loan is paid off or refinanced prior to the loan maturity date and within the first five year term of the loan, Program Lender shall refund to Program Sponsor the unearned portion of prepaid interest (generally calculated as the difference between (a) the monthly loan payment with a [2%] interest rate and (b) what the monthly loan payment would have been at Program Lender’s normal and customary interest rate, discounted for the term between the payoff date and the original  loan maturity date  using </w:t>
            </w:r>
            <w:r>
              <w:rPr>
                <w:rFonts w:ascii="Arial" w:eastAsia="Arial" w:hAnsi="Arial" w:cs="Arial"/>
                <w:color w:val="000000"/>
              </w:rPr>
              <w:t>Program Lender’s normal and customary rate).</w:t>
            </w:r>
          </w:p>
        </w:tc>
      </w:tr>
      <w:tr w:rsidR="00A60630" w14:paraId="1E87B542" w14:textId="77777777">
        <w:tc>
          <w:tcPr>
            <w:tcW w:w="1745" w:type="dxa"/>
          </w:tcPr>
          <w:p w14:paraId="7FC0E0BB" w14:textId="77777777" w:rsidR="00A60630" w:rsidRDefault="00FD56C9">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[Program Sponsor/ Program Administrator] Responsibilities</w:t>
            </w:r>
          </w:p>
        </w:tc>
        <w:tc>
          <w:tcPr>
            <w:tcW w:w="8420" w:type="dxa"/>
          </w:tcPr>
          <w:p w14:paraId="257A6BFB" w14:textId="77777777" w:rsidR="00A60630" w:rsidRDefault="00FD56C9">
            <w:pPr>
              <w:numPr>
                <w:ilvl w:val="0"/>
                <w:numId w:val="4"/>
              </w:numPr>
              <w:pBdr>
                <w:top w:val="nil"/>
                <w:left w:val="nil"/>
                <w:bottom w:val="nil"/>
                <w:right w:val="nil"/>
                <w:between w:val="nil"/>
              </w:pBdr>
              <w:spacing w:line="240" w:lineRule="auto"/>
            </w:pPr>
            <w:r>
              <w:rPr>
                <w:rFonts w:ascii="Arial" w:eastAsia="Arial" w:hAnsi="Arial" w:cs="Arial"/>
                <w:color w:val="000000"/>
              </w:rPr>
              <w:t>Make Interest Rate Buydown payment to Program Lender on or before closing date for each loan.</w:t>
            </w:r>
          </w:p>
          <w:p w14:paraId="648D545F" w14:textId="77777777" w:rsidR="00A60630" w:rsidRDefault="00FD56C9">
            <w:pPr>
              <w:numPr>
                <w:ilvl w:val="0"/>
                <w:numId w:val="4"/>
              </w:numPr>
              <w:pBdr>
                <w:top w:val="nil"/>
                <w:left w:val="nil"/>
                <w:bottom w:val="nil"/>
                <w:right w:val="nil"/>
                <w:between w:val="nil"/>
              </w:pBdr>
              <w:spacing w:line="240" w:lineRule="auto"/>
            </w:pPr>
            <w:r>
              <w:rPr>
                <w:rFonts w:ascii="Arial" w:eastAsia="Arial" w:hAnsi="Arial" w:cs="Arial"/>
                <w:color w:val="000000"/>
              </w:rPr>
              <w:t>Review Eligible Project details and Energy Audit and communicate project approval to Program Lender.</w:t>
            </w:r>
          </w:p>
          <w:p w14:paraId="1CEAB8B3" w14:textId="77777777" w:rsidR="00A60630" w:rsidRDefault="00FD56C9">
            <w:pPr>
              <w:numPr>
                <w:ilvl w:val="0"/>
                <w:numId w:val="4"/>
              </w:numPr>
              <w:pBdr>
                <w:top w:val="nil"/>
                <w:left w:val="nil"/>
                <w:bottom w:val="nil"/>
                <w:right w:val="nil"/>
                <w:between w:val="nil"/>
              </w:pBdr>
              <w:spacing w:line="240" w:lineRule="auto"/>
            </w:pPr>
            <w:r>
              <w:rPr>
                <w:rFonts w:ascii="Arial" w:eastAsia="Arial" w:hAnsi="Arial" w:cs="Arial"/>
                <w:color w:val="000000"/>
              </w:rPr>
              <w:t>[Review, approve, and pay energy audit subsidies – if applicable]</w:t>
            </w:r>
          </w:p>
          <w:p w14:paraId="73BC6BFD" w14:textId="77777777" w:rsidR="00A60630" w:rsidRDefault="00FD56C9">
            <w:pPr>
              <w:numPr>
                <w:ilvl w:val="0"/>
                <w:numId w:val="4"/>
              </w:numPr>
              <w:pBdr>
                <w:top w:val="nil"/>
                <w:left w:val="nil"/>
                <w:bottom w:val="nil"/>
                <w:right w:val="nil"/>
                <w:between w:val="nil"/>
              </w:pBdr>
              <w:spacing w:line="240" w:lineRule="auto"/>
            </w:pPr>
            <w:r>
              <w:rPr>
                <w:rFonts w:ascii="Arial" w:eastAsia="Arial" w:hAnsi="Arial" w:cs="Arial"/>
                <w:color w:val="000000"/>
              </w:rPr>
              <w:t>Monitor federal grant requirements (Davis Bacon Act, Build America Buy America Act, National Environmental Policy Act).</w:t>
            </w:r>
          </w:p>
        </w:tc>
      </w:tr>
      <w:tr w:rsidR="00A60630" w14:paraId="3ADFD8F6" w14:textId="77777777">
        <w:tc>
          <w:tcPr>
            <w:tcW w:w="1745" w:type="dxa"/>
          </w:tcPr>
          <w:p w14:paraId="574171A1" w14:textId="77777777" w:rsidR="00A60630" w:rsidRDefault="00FD56C9">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Program Lender Responsibilities</w:t>
            </w:r>
          </w:p>
        </w:tc>
        <w:tc>
          <w:tcPr>
            <w:tcW w:w="8420" w:type="dxa"/>
          </w:tcPr>
          <w:p w14:paraId="04B1005D" w14:textId="77777777" w:rsidR="00A60630" w:rsidRDefault="00FD56C9">
            <w:pPr>
              <w:numPr>
                <w:ilvl w:val="0"/>
                <w:numId w:val="1"/>
              </w:numPr>
              <w:pBdr>
                <w:top w:val="nil"/>
                <w:left w:val="nil"/>
                <w:bottom w:val="nil"/>
                <w:right w:val="nil"/>
                <w:between w:val="nil"/>
              </w:pBdr>
              <w:spacing w:line="240" w:lineRule="auto"/>
            </w:pPr>
            <w:r>
              <w:rPr>
                <w:rFonts w:ascii="Arial" w:eastAsia="Arial" w:hAnsi="Arial" w:cs="Arial"/>
                <w:color w:val="000000"/>
              </w:rPr>
              <w:t xml:space="preserve">Loan origination. </w:t>
            </w:r>
          </w:p>
          <w:p w14:paraId="15679F38" w14:textId="77777777" w:rsidR="00A60630" w:rsidRDefault="00FD56C9">
            <w:pPr>
              <w:numPr>
                <w:ilvl w:val="0"/>
                <w:numId w:val="1"/>
              </w:numPr>
              <w:pBdr>
                <w:top w:val="nil"/>
                <w:left w:val="nil"/>
                <w:bottom w:val="nil"/>
                <w:right w:val="nil"/>
                <w:between w:val="nil"/>
              </w:pBdr>
              <w:spacing w:line="240" w:lineRule="auto"/>
            </w:pPr>
            <w:r>
              <w:rPr>
                <w:rFonts w:ascii="Arial" w:eastAsia="Arial" w:hAnsi="Arial" w:cs="Arial"/>
                <w:color w:val="000000"/>
              </w:rPr>
              <w:t>Loan servicing, using the same standards as Program Lender would use for loans made from its own account without support from Program Sponsor.</w:t>
            </w:r>
          </w:p>
          <w:p w14:paraId="4353D9FF" w14:textId="77777777" w:rsidR="00A60630" w:rsidRDefault="00FD56C9">
            <w:pPr>
              <w:numPr>
                <w:ilvl w:val="0"/>
                <w:numId w:val="1"/>
              </w:numPr>
              <w:pBdr>
                <w:top w:val="nil"/>
                <w:left w:val="nil"/>
                <w:bottom w:val="nil"/>
                <w:right w:val="nil"/>
                <w:between w:val="nil"/>
              </w:pBdr>
              <w:spacing w:line="240" w:lineRule="auto"/>
            </w:pPr>
            <w:r>
              <w:rPr>
                <w:rFonts w:ascii="Arial" w:eastAsia="Arial" w:hAnsi="Arial" w:cs="Arial"/>
                <w:color w:val="000000"/>
              </w:rPr>
              <w:t>Collections for loans in default, at Lender’s expense, using the same standards as Program Lender would use for loans made from its own account without support from Program Sponsor.</w:t>
            </w:r>
          </w:p>
          <w:p w14:paraId="02DEDD63" w14:textId="77777777" w:rsidR="00A60630" w:rsidRDefault="00FD56C9">
            <w:pPr>
              <w:numPr>
                <w:ilvl w:val="0"/>
                <w:numId w:val="1"/>
              </w:numPr>
              <w:pBdr>
                <w:top w:val="nil"/>
                <w:left w:val="nil"/>
                <w:bottom w:val="nil"/>
                <w:right w:val="nil"/>
                <w:between w:val="nil"/>
              </w:pBdr>
              <w:spacing w:line="240" w:lineRule="auto"/>
            </w:pPr>
            <w:r>
              <w:rPr>
                <w:rFonts w:ascii="Arial" w:eastAsia="Arial" w:hAnsi="Arial" w:cs="Arial"/>
                <w:color w:val="000000"/>
              </w:rPr>
              <w:t xml:space="preserve">Flow down federal requirements to borrower and their contractors and subcontractors via contractual language in 29 CFR 5.5.   </w:t>
            </w:r>
          </w:p>
        </w:tc>
      </w:tr>
      <w:tr w:rsidR="00A60630" w14:paraId="4ADBCCC8" w14:textId="77777777">
        <w:tc>
          <w:tcPr>
            <w:tcW w:w="1745" w:type="dxa"/>
          </w:tcPr>
          <w:p w14:paraId="38931F79" w14:textId="77777777" w:rsidR="00A60630" w:rsidRDefault="00FD56C9">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Federal requirements</w:t>
            </w:r>
          </w:p>
        </w:tc>
        <w:tc>
          <w:tcPr>
            <w:tcW w:w="8420" w:type="dxa"/>
          </w:tcPr>
          <w:p w14:paraId="7F2B4815" w14:textId="77777777" w:rsidR="00A60630" w:rsidRDefault="00FD56C9">
            <w:pPr>
              <w:numPr>
                <w:ilvl w:val="0"/>
                <w:numId w:val="5"/>
              </w:numPr>
              <w:pBdr>
                <w:top w:val="nil"/>
                <w:left w:val="nil"/>
                <w:bottom w:val="nil"/>
                <w:right w:val="nil"/>
                <w:between w:val="nil"/>
              </w:pBdr>
              <w:spacing w:line="240" w:lineRule="auto"/>
            </w:pPr>
            <w:r>
              <w:rPr>
                <w:rFonts w:ascii="Arial" w:eastAsia="Arial" w:hAnsi="Arial" w:cs="Arial"/>
                <w:color w:val="000000"/>
              </w:rPr>
              <w:t>Program Sponsor’s grant award requires that its program must be ready to receive loan applications no later than 180 days after receipt of its grant award (Program Sponsor may request U.S. Department of Energy approval to extend this date up to six months to allow for finalizing agreement(s) with Program Lender(s) and other third-party program partners).</w:t>
            </w:r>
          </w:p>
          <w:p w14:paraId="3A7959BF" w14:textId="77777777" w:rsidR="00A60630" w:rsidRDefault="00FD56C9">
            <w:pPr>
              <w:numPr>
                <w:ilvl w:val="0"/>
                <w:numId w:val="5"/>
              </w:numPr>
              <w:pBdr>
                <w:top w:val="nil"/>
                <w:left w:val="nil"/>
                <w:bottom w:val="nil"/>
                <w:right w:val="nil"/>
                <w:between w:val="nil"/>
              </w:pBdr>
              <w:spacing w:line="240" w:lineRule="auto"/>
            </w:pPr>
            <w:r>
              <w:rPr>
                <w:rFonts w:ascii="Arial" w:eastAsia="Arial" w:hAnsi="Arial" w:cs="Arial"/>
                <w:color w:val="000000"/>
              </w:rPr>
              <w:t xml:space="preserve">All Eligible Projects must comply with laborer wage and benefit requirements and reporting under the Davis-Bacon Act.  The Contractor/subcontractor(s) responsible for installing the Eligible Project will be required to submit weekly certified wage and benefit reports using DOEs LCPTracker system during the term of the Eligible Project. See </w:t>
            </w:r>
            <w:hyperlink r:id="rId12">
              <w:r>
                <w:rPr>
                  <w:rFonts w:ascii="Arial" w:eastAsia="Arial" w:hAnsi="Arial" w:cs="Arial"/>
                  <w:color w:val="0000FF"/>
                  <w:u w:val="single"/>
                </w:rPr>
                <w:t>https://www.energy.gov/infrastructure/davis-bacon-act</w:t>
              </w:r>
            </w:hyperlink>
            <w:r>
              <w:rPr>
                <w:rFonts w:ascii="Arial" w:eastAsia="Arial" w:hAnsi="Arial" w:cs="Arial"/>
                <w:color w:val="000000"/>
              </w:rPr>
              <w:t>.</w:t>
            </w:r>
          </w:p>
          <w:p w14:paraId="5C74C1A3" w14:textId="77777777" w:rsidR="00A60630" w:rsidRDefault="00FD56C9">
            <w:pPr>
              <w:numPr>
                <w:ilvl w:val="0"/>
                <w:numId w:val="5"/>
              </w:numPr>
              <w:pBdr>
                <w:top w:val="nil"/>
                <w:left w:val="nil"/>
                <w:bottom w:val="nil"/>
                <w:right w:val="nil"/>
                <w:between w:val="nil"/>
              </w:pBdr>
              <w:spacing w:line="240" w:lineRule="auto"/>
            </w:pPr>
            <w:r>
              <w:rPr>
                <w:rFonts w:ascii="Arial" w:eastAsia="Arial" w:hAnsi="Arial" w:cs="Arial"/>
                <w:color w:val="000000"/>
              </w:rPr>
              <w:t xml:space="preserve">Projects must comply with the Build America Buy America Act and National Environmental Policy Act where applicable.  </w:t>
            </w:r>
          </w:p>
          <w:p w14:paraId="06356E79" w14:textId="77777777" w:rsidR="00A60630" w:rsidRDefault="00FD56C9">
            <w:pPr>
              <w:numPr>
                <w:ilvl w:val="0"/>
                <w:numId w:val="5"/>
              </w:numPr>
              <w:pBdr>
                <w:top w:val="nil"/>
                <w:left w:val="nil"/>
                <w:bottom w:val="nil"/>
                <w:right w:val="nil"/>
                <w:between w:val="nil"/>
              </w:pBdr>
              <w:spacing w:line="240" w:lineRule="auto"/>
            </w:pPr>
            <w:r>
              <w:rPr>
                <w:rFonts w:ascii="Arial" w:eastAsia="Arial" w:hAnsi="Arial" w:cs="Arial"/>
                <w:color w:val="000000"/>
              </w:rPr>
              <w:lastRenderedPageBreak/>
              <w:t>[Program Sponsor/Program Administrator] will review and monitor federal requirements for Eligible Projects.</w:t>
            </w:r>
          </w:p>
        </w:tc>
      </w:tr>
      <w:tr w:rsidR="00A60630" w14:paraId="1F41907F" w14:textId="77777777">
        <w:tc>
          <w:tcPr>
            <w:tcW w:w="1745" w:type="dxa"/>
          </w:tcPr>
          <w:p w14:paraId="6D4BF0AA" w14:textId="77777777" w:rsidR="00A60630" w:rsidRDefault="00FD56C9">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lastRenderedPageBreak/>
              <w:t>Agreements</w:t>
            </w:r>
          </w:p>
        </w:tc>
        <w:tc>
          <w:tcPr>
            <w:tcW w:w="8420" w:type="dxa"/>
          </w:tcPr>
          <w:p w14:paraId="155CAC10" w14:textId="77777777" w:rsidR="00A60630" w:rsidRDefault="00FD56C9">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Program Sponsor will enter into an Interest Rate Buydown Agreement with Program Lender for each approved project.</w:t>
            </w:r>
          </w:p>
        </w:tc>
      </w:tr>
    </w:tbl>
    <w:p w14:paraId="315111D5" w14:textId="77777777" w:rsidR="00A60630" w:rsidRDefault="00A60630"/>
    <w:p w14:paraId="0E25ECFA" w14:textId="77777777" w:rsidR="00A60630" w:rsidRDefault="00FD56C9">
      <w:pPr>
        <w:spacing w:line="240" w:lineRule="auto"/>
        <w:sectPr w:rsidR="00A60630">
          <w:headerReference w:type="even" r:id="rId13"/>
          <w:headerReference w:type="default" r:id="rId14"/>
          <w:footerReference w:type="even" r:id="rId15"/>
          <w:footerReference w:type="default" r:id="rId16"/>
          <w:headerReference w:type="first" r:id="rId17"/>
          <w:pgSz w:w="12240" w:h="15840"/>
          <w:pgMar w:top="1523" w:right="1080" w:bottom="720" w:left="1080" w:header="0" w:footer="318" w:gutter="0"/>
          <w:pgNumType w:start="1"/>
          <w:cols w:space="720"/>
        </w:sectPr>
      </w:pPr>
      <w:r>
        <w:br w:type="page"/>
      </w:r>
    </w:p>
    <w:p w14:paraId="6000E911" w14:textId="77777777" w:rsidR="00A60630" w:rsidRDefault="00A60630">
      <w:pPr>
        <w:rPr>
          <w:rFonts w:ascii="Arial" w:eastAsia="Arial" w:hAnsi="Arial" w:cs="Arial"/>
          <w:color w:val="177CA3"/>
          <w:sz w:val="32"/>
          <w:szCs w:val="32"/>
        </w:rPr>
      </w:pPr>
    </w:p>
    <w:p w14:paraId="1DFA1E80" w14:textId="77777777" w:rsidR="00A60630" w:rsidRDefault="00A60630">
      <w:pPr>
        <w:rPr>
          <w:rFonts w:ascii="Arial" w:eastAsia="Arial" w:hAnsi="Arial" w:cs="Arial"/>
          <w:color w:val="177CA3"/>
          <w:sz w:val="32"/>
          <w:szCs w:val="32"/>
        </w:rPr>
      </w:pPr>
    </w:p>
    <w:p w14:paraId="1F70C881" w14:textId="77777777" w:rsidR="00A60630" w:rsidRDefault="00A60630">
      <w:pPr>
        <w:pStyle w:val="Heading2"/>
      </w:pPr>
    </w:p>
    <w:p w14:paraId="44C8B296" w14:textId="77777777" w:rsidR="00A60630" w:rsidRDefault="00FD56C9">
      <w:pPr>
        <w:pStyle w:val="Heading2"/>
      </w:pPr>
      <w:r>
        <w:t>Disclaimer and Copyright Notice</w:t>
      </w:r>
    </w:p>
    <w:p w14:paraId="62780765" w14:textId="77777777" w:rsidR="00A60630" w:rsidRDefault="00FD56C9">
      <w:pPr>
        <w:pBdr>
          <w:top w:val="nil"/>
          <w:left w:val="nil"/>
          <w:bottom w:val="nil"/>
          <w:right w:val="nil"/>
          <w:between w:val="nil"/>
        </w:pBdr>
        <w:spacing w:line="240" w:lineRule="auto"/>
        <w:jc w:val="both"/>
        <w:rPr>
          <w:color w:val="000000"/>
        </w:rPr>
      </w:pPr>
      <w:r>
        <w:rPr>
          <w:color w:val="000000"/>
        </w:rPr>
        <w:t>This document was prepared as an account of work sponsored by the United States Government. While this document is believed to contain correct information, neither the United States Government nor any agency thereof, nor The Regents of the University of California, nor any of their employees, makes any warranty, express or implied, or assumes any legal responsibility for the accuracy, completeness, or usefulness of any information, apparatus, product, or process disclosed, or represents that its use would n</w:t>
      </w:r>
      <w:r>
        <w:rPr>
          <w:color w:val="000000"/>
        </w:rPr>
        <w:t>ot infringe privately owned rights. Reference herein to any specific commercial product, process, or service by its trade name, trademark, manufacturer, or otherwise, does not necessarily constitute or imply its endorsement, recommendation, or favoring by the United States Government or any agency thereof, or The Regents of the University of California. The views and opinions of authors expressed herein do not necessarily state or reflect those of the United States Government or any agency thereof, or The R</w:t>
      </w:r>
      <w:r>
        <w:rPr>
          <w:color w:val="000000"/>
        </w:rPr>
        <w:t>egents of the University of California. Ernest Orlando Lawrence Berkeley National Laboratory is an equal opportunity employer.</w:t>
      </w:r>
    </w:p>
    <w:p w14:paraId="31C0A4E7" w14:textId="77777777" w:rsidR="00A60630" w:rsidRDefault="00A60630">
      <w:pPr>
        <w:pBdr>
          <w:top w:val="nil"/>
          <w:left w:val="nil"/>
          <w:bottom w:val="nil"/>
          <w:right w:val="nil"/>
          <w:between w:val="nil"/>
        </w:pBdr>
        <w:spacing w:line="240" w:lineRule="auto"/>
        <w:jc w:val="both"/>
        <w:rPr>
          <w:color w:val="000000"/>
        </w:rPr>
      </w:pPr>
    </w:p>
    <w:p w14:paraId="46830B62" w14:textId="77777777" w:rsidR="00A60630" w:rsidRDefault="00FD56C9">
      <w:pPr>
        <w:pBdr>
          <w:top w:val="nil"/>
          <w:left w:val="nil"/>
          <w:bottom w:val="nil"/>
          <w:right w:val="nil"/>
          <w:between w:val="nil"/>
        </w:pBdr>
        <w:spacing w:line="240" w:lineRule="auto"/>
        <w:jc w:val="both"/>
        <w:rPr>
          <w:color w:val="000000"/>
        </w:rPr>
      </w:pPr>
      <w:r>
        <w:rPr>
          <w:color w:val="000000"/>
        </w:rPr>
        <w:t>This manuscript has been authored by an author at Lawrence Berkeley National Laboratory under Contract No. DE-AC02-05CH11231 with the U.S. Department of Energy. The U.S. Government retains, and the publisher, by accepting the article for publication, acknowledges, that the U.S. Government retains a non-exclusive, paid-up, irrevocable, worldwide license to publish or reproduce the published form of this manuscript, or allow others to do so, for U.S. Government purposes.</w:t>
      </w:r>
    </w:p>
    <w:p w14:paraId="2C5883CC" w14:textId="77777777" w:rsidR="00A60630" w:rsidRDefault="00A60630">
      <w:pPr>
        <w:pBdr>
          <w:top w:val="nil"/>
          <w:left w:val="nil"/>
          <w:bottom w:val="nil"/>
          <w:right w:val="nil"/>
          <w:between w:val="nil"/>
        </w:pBdr>
        <w:spacing w:line="240" w:lineRule="auto"/>
        <w:jc w:val="both"/>
        <w:rPr>
          <w:rFonts w:ascii="Arial" w:eastAsia="Arial" w:hAnsi="Arial" w:cs="Arial"/>
          <w:color w:val="000000"/>
          <w:sz w:val="18"/>
          <w:szCs w:val="18"/>
        </w:rPr>
      </w:pPr>
    </w:p>
    <w:p w14:paraId="5AC4F0BD" w14:textId="77777777" w:rsidR="00A60630" w:rsidRDefault="00A60630">
      <w:pPr>
        <w:jc w:val="center"/>
      </w:pPr>
    </w:p>
    <w:p w14:paraId="50547560" w14:textId="77777777" w:rsidR="00A60630" w:rsidRDefault="00A60630">
      <w:pPr>
        <w:jc w:val="center"/>
      </w:pPr>
    </w:p>
    <w:p w14:paraId="5327C13C" w14:textId="77777777" w:rsidR="00A60630" w:rsidRDefault="00A60630">
      <w:pPr>
        <w:jc w:val="center"/>
      </w:pPr>
    </w:p>
    <w:p w14:paraId="372D0113" w14:textId="77777777" w:rsidR="00A60630" w:rsidRDefault="00A60630">
      <w:pPr>
        <w:jc w:val="center"/>
      </w:pPr>
    </w:p>
    <w:p w14:paraId="548F0D6B" w14:textId="77777777" w:rsidR="00A60630" w:rsidRDefault="00A60630">
      <w:pPr>
        <w:jc w:val="center"/>
      </w:pPr>
    </w:p>
    <w:p w14:paraId="0F02A1B5" w14:textId="77777777" w:rsidR="00A60630" w:rsidRDefault="00A60630">
      <w:pPr>
        <w:jc w:val="center"/>
      </w:pPr>
    </w:p>
    <w:p w14:paraId="73025C71" w14:textId="77777777" w:rsidR="00A60630" w:rsidRDefault="00A60630">
      <w:pPr>
        <w:jc w:val="center"/>
      </w:pPr>
    </w:p>
    <w:p w14:paraId="3CA14407" w14:textId="77777777" w:rsidR="00A60630" w:rsidRDefault="00A60630">
      <w:pPr>
        <w:jc w:val="center"/>
      </w:pPr>
    </w:p>
    <w:p w14:paraId="11BB8674" w14:textId="77777777" w:rsidR="00A60630" w:rsidRDefault="00FD56C9">
      <w:pPr>
        <w:jc w:val="center"/>
      </w:pPr>
      <w:r>
        <w:rPr>
          <w:noProof/>
        </w:rPr>
        <w:drawing>
          <wp:inline distT="114300" distB="114300" distL="114300" distR="114300" wp14:anchorId="32F62766" wp14:editId="28524B20">
            <wp:extent cx="3671888" cy="1054575"/>
            <wp:effectExtent l="0" t="0" r="0" b="0"/>
            <wp:docPr id="185858696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3671888" cy="1054575"/>
                    </a:xfrm>
                    <a:prstGeom prst="rect">
                      <a:avLst/>
                    </a:prstGeom>
                    <a:ln/>
                  </pic:spPr>
                </pic:pic>
              </a:graphicData>
            </a:graphic>
          </wp:inline>
        </w:drawing>
      </w:r>
    </w:p>
    <w:p w14:paraId="6221D5AC" w14:textId="77777777" w:rsidR="00A60630" w:rsidRDefault="00A60630">
      <w:pPr>
        <w:jc w:val="center"/>
      </w:pPr>
    </w:p>
    <w:p w14:paraId="470F16E7" w14:textId="77777777" w:rsidR="00A60630" w:rsidRDefault="00A60630">
      <w:pPr>
        <w:jc w:val="center"/>
      </w:pPr>
    </w:p>
    <w:p w14:paraId="28EE7994" w14:textId="77777777" w:rsidR="00A60630" w:rsidRDefault="00A60630">
      <w:pPr>
        <w:jc w:val="center"/>
      </w:pPr>
    </w:p>
    <w:p w14:paraId="5FBAFE8D" w14:textId="77777777" w:rsidR="00A60630" w:rsidRDefault="00A60630">
      <w:pPr>
        <w:jc w:val="center"/>
      </w:pPr>
    </w:p>
    <w:p w14:paraId="23C4549F" w14:textId="77777777" w:rsidR="00A60630" w:rsidRDefault="00A60630">
      <w:pPr>
        <w:jc w:val="center"/>
      </w:pPr>
    </w:p>
    <w:p w14:paraId="3DEF12BB" w14:textId="77777777" w:rsidR="00A60630" w:rsidRDefault="00A60630">
      <w:pPr>
        <w:jc w:val="center"/>
      </w:pPr>
    </w:p>
    <w:p w14:paraId="17AE67E7" w14:textId="77777777" w:rsidR="00A60630" w:rsidRDefault="00A60630">
      <w:pPr>
        <w:pBdr>
          <w:top w:val="single" w:sz="4" w:space="1" w:color="00303C"/>
        </w:pBdr>
        <w:jc w:val="center"/>
        <w:rPr>
          <w:sz w:val="8"/>
          <w:szCs w:val="8"/>
        </w:rPr>
      </w:pPr>
    </w:p>
    <w:p w14:paraId="18D4C5D6" w14:textId="77777777" w:rsidR="00A60630" w:rsidRDefault="00FD56C9">
      <w:pPr>
        <w:jc w:val="center"/>
        <w:rPr>
          <w:rFonts w:ascii="Arial" w:eastAsia="Arial" w:hAnsi="Arial" w:cs="Arial"/>
          <w:color w:val="0000FF"/>
          <w:sz w:val="20"/>
          <w:szCs w:val="20"/>
          <w:u w:val="single"/>
        </w:rPr>
      </w:pPr>
      <w:r>
        <w:t xml:space="preserve">For more information, visit us at </w:t>
      </w:r>
      <w:hyperlink r:id="rId19">
        <w:r>
          <w:rPr>
            <w:rFonts w:ascii="Arial" w:eastAsia="Arial" w:hAnsi="Arial" w:cs="Arial"/>
            <w:color w:val="0000FF"/>
            <w:sz w:val="20"/>
            <w:szCs w:val="20"/>
            <w:u w:val="single"/>
          </w:rPr>
          <w:t>https://emp.lbl.gov/</w:t>
        </w:r>
      </w:hyperlink>
      <w:r>
        <w:br/>
        <w:t xml:space="preserve">For all of our downloadable publications, visit </w:t>
      </w:r>
      <w:hyperlink r:id="rId20">
        <w:r>
          <w:rPr>
            <w:rFonts w:ascii="Arial" w:eastAsia="Arial" w:hAnsi="Arial" w:cs="Arial"/>
            <w:color w:val="0000FF"/>
            <w:sz w:val="20"/>
            <w:szCs w:val="20"/>
            <w:u w:val="single"/>
          </w:rPr>
          <w:t>https://emp.lbl.gov/publications</w:t>
        </w:r>
      </w:hyperlink>
    </w:p>
    <w:p w14:paraId="35B67012" w14:textId="77777777" w:rsidR="00A60630" w:rsidRDefault="00A60630">
      <w:pPr>
        <w:pBdr>
          <w:bottom w:val="single" w:sz="4" w:space="1" w:color="00303C"/>
        </w:pBdr>
        <w:jc w:val="center"/>
        <w:rPr>
          <w:sz w:val="10"/>
          <w:szCs w:val="10"/>
        </w:rPr>
      </w:pPr>
    </w:p>
    <w:sectPr w:rsidR="00A60630">
      <w:headerReference w:type="default" r:id="rId21"/>
      <w:footerReference w:type="default" r:id="rId22"/>
      <w:pgSz w:w="12240" w:h="15840"/>
      <w:pgMar w:top="720" w:right="1080" w:bottom="1526" w:left="1080" w:header="0" w:footer="5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1FEDE5" w14:textId="77777777" w:rsidR="00FD56C9" w:rsidRDefault="00FD56C9">
      <w:pPr>
        <w:spacing w:line="240" w:lineRule="auto"/>
      </w:pPr>
      <w:r>
        <w:separator/>
      </w:r>
    </w:p>
  </w:endnote>
  <w:endnote w:type="continuationSeparator" w:id="0">
    <w:p w14:paraId="05B6C2EE" w14:textId="77777777" w:rsidR="00FD56C9" w:rsidRDefault="00FD56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AD2F690-77E9-434F-8A20-77DBF184746A}"/>
  </w:font>
  <w:font w:name="Calibri">
    <w:panose1 w:val="020F0502020204030204"/>
    <w:charset w:val="00"/>
    <w:family w:val="swiss"/>
    <w:pitch w:val="variable"/>
    <w:sig w:usb0="E4002EFF" w:usb1="C200247B" w:usb2="00000009" w:usb3="00000000" w:csb0="000001FF" w:csb1="00000000"/>
    <w:embedRegular r:id="rId2" w:fontKey="{7A3C68C5-63E7-4D55-BD09-92BAAF427CEC}"/>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9020A1CB-9401-4B66-8F82-8CC536A53CF2}"/>
    <w:embedBold r:id="rId4" w:fontKey="{5D2B9D6D-E3CB-4E61-AA97-403875F78E6C}"/>
    <w:embedItalic r:id="rId5" w:fontKey="{DE033E2D-3508-4DFF-8310-0786DD860979}"/>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roman"/>
    <w:notTrueType/>
    <w:pitch w:val="default"/>
    <w:embedRegular r:id="rId6" w:fontKey="{CF26AA2C-A256-4544-952E-5E5905C6EC3F}"/>
    <w:embedBold r:id="rId7" w:fontKey="{C4F4CB7C-917E-4547-907D-2BF37600BC06}"/>
  </w:font>
  <w:font w:name="Tahoma">
    <w:panose1 w:val="020B0604030504040204"/>
    <w:charset w:val="00"/>
    <w:family w:val="roman"/>
    <w:notTrueType/>
    <w:pitch w:val="default"/>
    <w:embedRegular r:id="rId8" w:fontKey="{47A261F6-3648-4E5C-B94F-6CEC93A74F23}"/>
  </w:font>
  <w:font w:name="Lucida Grande">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C3037" w14:textId="77777777" w:rsidR="00A60630" w:rsidRDefault="00FD56C9">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8127DA2" w14:textId="77777777" w:rsidR="00A60630" w:rsidRDefault="00A60630">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CF9A0" w14:textId="77777777" w:rsidR="00A60630" w:rsidRDefault="00FD56C9">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22315721" w14:textId="77777777" w:rsidR="00A60630" w:rsidRDefault="00A60630">
    <w:pPr>
      <w:pBdr>
        <w:bottom w:val="dotted" w:sz="4" w:space="1" w:color="000000"/>
      </w:pBdr>
      <w:spacing w:line="240" w:lineRule="auto"/>
      <w:ind w:right="720"/>
      <w:jc w:val="both"/>
      <w:rPr>
        <w:rFonts w:ascii="Arial" w:eastAsia="Arial" w:hAnsi="Arial" w:cs="Arial"/>
        <w:sz w:val="10"/>
        <w:szCs w:val="10"/>
      </w:rPr>
    </w:pPr>
  </w:p>
  <w:p w14:paraId="59E844F5" w14:textId="77777777" w:rsidR="00A60630" w:rsidRDefault="00FD56C9">
    <w:pPr>
      <w:spacing w:line="240" w:lineRule="auto"/>
      <w:ind w:right="720"/>
      <w:rPr>
        <w:rFonts w:ascii="Arial" w:eastAsia="Arial" w:hAnsi="Arial" w:cs="Arial"/>
        <w:color w:val="595959"/>
        <w:sz w:val="18"/>
        <w:szCs w:val="18"/>
      </w:rPr>
    </w:pPr>
    <w:r>
      <w:rPr>
        <w:rFonts w:ascii="Arial" w:eastAsia="Arial" w:hAnsi="Arial" w:cs="Arial"/>
        <w:i/>
        <w:iCs/>
        <w:color w:val="595959"/>
        <w:sz w:val="18"/>
        <w:szCs w:val="18"/>
      </w:rPr>
      <w:t xml:space="preserve">The work described in this report was funded by the U.S. Department of Energy’s Office of State and Community Energy Programs under Lawrence Berkeley National Laboratory Contract No. DE-AC02-05CH11231. If you have questions or need clarification of any points, please contact Greg Leventis at GLeventis@lbl.gov. Interested in other LBNL Electricity Markets and Policy Group publications? Join our notification list </w:t>
    </w:r>
    <w:hyperlink r:id="rId1">
      <w:r>
        <w:rPr>
          <w:rFonts w:ascii="Arial" w:eastAsia="Arial" w:hAnsi="Arial" w:cs="Arial"/>
          <w:i/>
          <w:iCs/>
          <w:color w:val="595959"/>
          <w:sz w:val="18"/>
          <w:szCs w:val="18"/>
          <w:u w:val="single"/>
        </w:rPr>
        <w:t>here</w:t>
      </w:r>
    </w:hyperlink>
    <w:r>
      <w:rPr>
        <w:rFonts w:ascii="Arial" w:eastAsia="Arial" w:hAnsi="Arial" w:cs="Arial"/>
        <w:i/>
        <w:iCs/>
        <w:color w:val="595959"/>
        <w:sz w:val="18"/>
        <w:szCs w:val="18"/>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20D48" w14:textId="77777777" w:rsidR="00A60630" w:rsidRDefault="00A60630">
    <w:pPr>
      <w:spacing w:line="240" w:lineRule="auto"/>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A378B8" w14:textId="77777777" w:rsidR="00FD56C9" w:rsidRDefault="00FD56C9">
      <w:pPr>
        <w:spacing w:line="240" w:lineRule="auto"/>
      </w:pPr>
      <w:r>
        <w:separator/>
      </w:r>
    </w:p>
  </w:footnote>
  <w:footnote w:type="continuationSeparator" w:id="0">
    <w:p w14:paraId="5ABDE900" w14:textId="77777777" w:rsidR="00FD56C9" w:rsidRDefault="00FD56C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1BF89" w14:textId="77777777" w:rsidR="00A60630" w:rsidRDefault="00FD56C9">
    <w:pPr>
      <w:pBdr>
        <w:top w:val="nil"/>
        <w:left w:val="nil"/>
        <w:bottom w:val="nil"/>
        <w:right w:val="nil"/>
        <w:between w:val="nil"/>
      </w:pBdr>
      <w:tabs>
        <w:tab w:val="center" w:pos="4680"/>
        <w:tab w:val="right" w:pos="9360"/>
      </w:tabs>
      <w:rPr>
        <w:color w:val="000000"/>
      </w:rPr>
    </w:pPr>
    <w:r>
      <w:rPr>
        <w:color w:val="000000"/>
      </w:rPr>
      <w:pict w14:anchorId="064603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11.95pt;height:791.95pt;z-index:-25165516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9E7E6" w14:textId="77777777" w:rsidR="00A60630" w:rsidRDefault="00FD56C9">
    <w:pPr>
      <w:pBdr>
        <w:top w:val="nil"/>
        <w:left w:val="nil"/>
        <w:bottom w:val="nil"/>
        <w:right w:val="nil"/>
        <w:between w:val="nil"/>
      </w:pBdr>
      <w:tabs>
        <w:tab w:val="center" w:pos="4680"/>
        <w:tab w:val="right" w:pos="9360"/>
        <w:tab w:val="right" w:pos="10080"/>
      </w:tabs>
      <w:rPr>
        <w:color w:val="000000"/>
      </w:rPr>
    </w:pPr>
    <w:r>
      <w:rPr>
        <w:color w:val="000000"/>
      </w:rPr>
      <w:t xml:space="preserve"> </w:t>
    </w:r>
    <w:r>
      <w:rPr>
        <w:noProof/>
      </w:rPr>
      <w:drawing>
        <wp:anchor distT="0" distB="0" distL="0" distR="0" simplePos="0" relativeHeight="251654144" behindDoc="0" locked="0" layoutInCell="1" hidden="0" allowOverlap="1" wp14:anchorId="47093BC0" wp14:editId="48461E66">
          <wp:simplePos x="0" y="0"/>
          <wp:positionH relativeFrom="column">
            <wp:posOffset>-685798</wp:posOffset>
          </wp:positionH>
          <wp:positionV relativeFrom="paragraph">
            <wp:posOffset>0</wp:posOffset>
          </wp:positionV>
          <wp:extent cx="8396967" cy="881481"/>
          <wp:effectExtent l="0" t="0" r="0" b="0"/>
          <wp:wrapNone/>
          <wp:docPr id="185858696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b="6756"/>
                  <a:stretch>
                    <a:fillRect/>
                  </a:stretch>
                </pic:blipFill>
                <pic:spPr>
                  <a:xfrm>
                    <a:off x="0" y="0"/>
                    <a:ext cx="8396967" cy="881481"/>
                  </a:xfrm>
                  <a:prstGeom prst="rect">
                    <a:avLst/>
                  </a:prstGeom>
                  <a:ln/>
                </pic:spPr>
              </pic:pic>
            </a:graphicData>
          </a:graphic>
        </wp:anchor>
      </w:drawing>
    </w:r>
    <w:r>
      <w:rPr>
        <w:noProof/>
      </w:rPr>
      <w:drawing>
        <wp:anchor distT="0" distB="0" distL="114300" distR="114300" simplePos="0" relativeHeight="251655168" behindDoc="0" locked="0" layoutInCell="1" hidden="0" allowOverlap="1" wp14:anchorId="45090D3D" wp14:editId="074DC35E">
          <wp:simplePos x="0" y="0"/>
          <wp:positionH relativeFrom="column">
            <wp:posOffset>4600575</wp:posOffset>
          </wp:positionH>
          <wp:positionV relativeFrom="paragraph">
            <wp:posOffset>176213</wp:posOffset>
          </wp:positionV>
          <wp:extent cx="1852897" cy="532156"/>
          <wp:effectExtent l="0" t="0" r="0" b="0"/>
          <wp:wrapNone/>
          <wp:docPr id="185858697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852897" cy="532156"/>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0D6C0" w14:textId="77777777" w:rsidR="00A60630" w:rsidRDefault="00FD56C9">
    <w:pPr>
      <w:pBdr>
        <w:top w:val="nil"/>
        <w:left w:val="nil"/>
        <w:bottom w:val="nil"/>
        <w:right w:val="nil"/>
        <w:between w:val="nil"/>
      </w:pBdr>
      <w:tabs>
        <w:tab w:val="center" w:pos="4680"/>
        <w:tab w:val="right" w:pos="9360"/>
      </w:tabs>
      <w:rPr>
        <w:color w:val="000000"/>
      </w:rPr>
    </w:pPr>
    <w:r>
      <w:rPr>
        <w:color w:val="000000"/>
      </w:rPr>
      <w:pict w14:anchorId="4D4C97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margin-left:0;margin-top:0;width:611.95pt;height:791.95pt;z-index:-251656192;mso-position-horizontal:center;mso-position-horizontal-relative:margin;mso-position-vertical:center;mso-position-vertical-relative:margin">
          <v:imagedata r:id="rId1" o:title="image1"/>
          <w10:wrap anchorx="margin" anchory="margin"/>
        </v:shape>
      </w:pict>
    </w:r>
    <w:r>
      <w:rPr>
        <w:noProof/>
      </w:rPr>
      <mc:AlternateContent>
        <mc:Choice Requires="wpg">
          <w:drawing>
            <wp:anchor distT="0" distB="0" distL="114300" distR="114300" simplePos="0" relativeHeight="251656192" behindDoc="0" locked="0" layoutInCell="1" hidden="0" allowOverlap="1" wp14:anchorId="0E567BD6" wp14:editId="26D9800F">
              <wp:simplePos x="0" y="0"/>
              <wp:positionH relativeFrom="column">
                <wp:posOffset>1705293</wp:posOffset>
              </wp:positionH>
              <wp:positionV relativeFrom="paragraph">
                <wp:posOffset>329248</wp:posOffset>
              </wp:positionV>
              <wp:extent cx="5240655" cy="352425"/>
              <wp:effectExtent l="0" t="0" r="0" b="0"/>
              <wp:wrapNone/>
              <wp:docPr id="1858586967" name="Rectangle 1858586967"/>
              <wp:cNvGraphicFramePr/>
              <a:graphic xmlns:a="http://schemas.openxmlformats.org/drawingml/2006/main">
                <a:graphicData uri="http://schemas.microsoft.com/office/word/2010/wordprocessingShape">
                  <wps:wsp>
                    <wps:cNvSpPr/>
                    <wps:spPr>
                      <a:xfrm>
                        <a:off x="2730435" y="3608550"/>
                        <a:ext cx="5231130" cy="342900"/>
                      </a:xfrm>
                      <a:prstGeom prst="rect">
                        <a:avLst/>
                      </a:prstGeom>
                      <a:noFill/>
                      <a:ln>
                        <a:noFill/>
                      </a:ln>
                    </wps:spPr>
                    <wps:txbx>
                      <w:txbxContent>
                        <w:p w14:paraId="61797ACD" w14:textId="77777777" w:rsidR="00A60630" w:rsidRDefault="00FD56C9">
                          <w:pPr>
                            <w:spacing w:line="240" w:lineRule="auto"/>
                            <w:textDirection w:val="btLr"/>
                          </w:pPr>
                          <w:r>
                            <w:rPr>
                              <w:rFonts w:ascii="Arial Narrow" w:eastAsia="Arial Narrow" w:hAnsi="Arial Narrow" w:cs="Arial Narrow"/>
                              <w:b/>
                              <w:color w:val="D38834"/>
                              <w:sz w:val="24"/>
                            </w:rPr>
                            <w:t>TECHNICAL BRIEF</w:t>
                          </w:r>
                          <w:r>
                            <w:rPr>
                              <w:rFonts w:ascii="Arial Narrow" w:eastAsia="Arial Narrow" w:hAnsi="Arial Narrow" w:cs="Arial Narrow"/>
                              <w:b/>
                              <w:color w:val="D38834"/>
                              <w:sz w:val="24"/>
                            </w:rPr>
                            <w:tab/>
                          </w:r>
                        </w:p>
                        <w:p w14:paraId="0C69074F" w14:textId="77777777" w:rsidR="00A60630" w:rsidRDefault="00A60630">
                          <w:pPr>
                            <w:spacing w:line="240"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1705293</wp:posOffset>
              </wp:positionH>
              <wp:positionV relativeFrom="paragraph">
                <wp:posOffset>329248</wp:posOffset>
              </wp:positionV>
              <wp:extent cx="5240655" cy="352425"/>
              <wp:effectExtent b="0" l="0" r="0" t="0"/>
              <wp:wrapNone/>
              <wp:docPr id="1858586967" name="image8.png"/>
              <a:graphic>
                <a:graphicData uri="http://schemas.openxmlformats.org/drawingml/2006/picture">
                  <pic:pic>
                    <pic:nvPicPr>
                      <pic:cNvPr id="0" name="image8.png"/>
                      <pic:cNvPicPr preferRelativeResize="0"/>
                    </pic:nvPicPr>
                    <pic:blipFill>
                      <a:blip r:embed="rId2"/>
                      <a:srcRect/>
                      <a:stretch>
                        <a:fillRect/>
                      </a:stretch>
                    </pic:blipFill>
                    <pic:spPr>
                      <a:xfrm>
                        <a:off x="0" y="0"/>
                        <a:ext cx="5240655" cy="352425"/>
                      </a:xfrm>
                      <a:prstGeom prst="rect"/>
                      <a:ln/>
                    </pic:spPr>
                  </pic:pic>
                </a:graphicData>
              </a:graphic>
            </wp:anchor>
          </w:drawing>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34AFD" w14:textId="77777777" w:rsidR="00A60630" w:rsidRDefault="00FD56C9">
    <w:pPr>
      <w:pBdr>
        <w:top w:val="nil"/>
        <w:left w:val="nil"/>
        <w:bottom w:val="nil"/>
        <w:right w:val="nil"/>
        <w:between w:val="nil"/>
      </w:pBdr>
      <w:tabs>
        <w:tab w:val="center" w:pos="4680"/>
        <w:tab w:val="right" w:pos="9360"/>
        <w:tab w:val="right" w:pos="10080"/>
      </w:tabs>
      <w:rPr>
        <w:color w:val="000000"/>
      </w:rPr>
    </w:pPr>
    <w:r>
      <w:rPr>
        <w:color w:val="000000"/>
      </w:rPr>
      <w:t xml:space="preserve"> </w:t>
    </w:r>
    <w:r>
      <w:rPr>
        <w:noProof/>
      </w:rPr>
      <w:drawing>
        <wp:anchor distT="0" distB="0" distL="0" distR="0" simplePos="0" relativeHeight="251657216" behindDoc="1" locked="0" layoutInCell="1" hidden="0" allowOverlap="1" wp14:anchorId="01128596" wp14:editId="3E9B7F91">
          <wp:simplePos x="0" y="0"/>
          <wp:positionH relativeFrom="column">
            <wp:posOffset>-140969</wp:posOffset>
          </wp:positionH>
          <wp:positionV relativeFrom="paragraph">
            <wp:posOffset>143690</wp:posOffset>
          </wp:positionV>
          <wp:extent cx="2155371" cy="586189"/>
          <wp:effectExtent l="0" t="0" r="0" b="0"/>
          <wp:wrapNone/>
          <wp:docPr id="185858697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155371" cy="586189"/>
                  </a:xfrm>
                  <a:prstGeom prst="rect">
                    <a:avLst/>
                  </a:prstGeom>
                  <a:ln/>
                </pic:spPr>
              </pic:pic>
            </a:graphicData>
          </a:graphic>
        </wp:anchor>
      </w:drawing>
    </w:r>
    <w:r>
      <w:rPr>
        <w:noProof/>
      </w:rPr>
      <mc:AlternateContent>
        <mc:Choice Requires="wps">
          <w:drawing>
            <wp:anchor distT="0" distB="0" distL="114300" distR="114300" simplePos="0" relativeHeight="251658240" behindDoc="0" locked="0" layoutInCell="1" hidden="0" allowOverlap="1" wp14:anchorId="6E79C0BB" wp14:editId="4FE3B02E">
              <wp:simplePos x="0" y="0"/>
              <wp:positionH relativeFrom="column">
                <wp:posOffset>-6531</wp:posOffset>
              </wp:positionH>
              <wp:positionV relativeFrom="paragraph">
                <wp:posOffset>783953</wp:posOffset>
              </wp:positionV>
              <wp:extent cx="0" cy="12700"/>
              <wp:effectExtent l="0" t="0" r="0" b="0"/>
              <wp:wrapNone/>
              <wp:docPr id="1858586965" name="Straight Arrow Connector 1858586965"/>
              <wp:cNvGraphicFramePr/>
              <a:graphic xmlns:a="http://schemas.openxmlformats.org/drawingml/2006/main">
                <a:graphicData uri="http://schemas.microsoft.com/office/word/2010/wordprocessingShape">
                  <wps:wsp>
                    <wps:cNvCnPr/>
                    <wps:spPr>
                      <a:xfrm>
                        <a:off x="2292558" y="3780000"/>
                        <a:ext cx="6106885" cy="0"/>
                      </a:xfrm>
                      <a:prstGeom prst="straightConnector1">
                        <a:avLst/>
                      </a:prstGeom>
                      <a:noFill/>
                      <a:ln w="9525" cap="flat" cmpd="sng">
                        <a:solidFill>
                          <a:schemeClr val="dk2"/>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-6531</wp:posOffset>
              </wp:positionH>
              <wp:positionV relativeFrom="paragraph">
                <wp:posOffset>783953</wp:posOffset>
              </wp:positionV>
              <wp:extent cx="0" cy="12700"/>
              <wp:effectExtent b="0" l="0" r="0" t="0"/>
              <wp:wrapNone/>
              <wp:docPr id="1858586965" name="image6.png"/>
              <a:graphic>
                <a:graphicData uri="http://schemas.openxmlformats.org/drawingml/2006/picture">
                  <pic:pic>
                    <pic:nvPicPr>
                      <pic:cNvPr id="0" name="image6.png"/>
                      <pic:cNvPicPr preferRelativeResize="0"/>
                    </pic:nvPicPr>
                    <pic:blipFill>
                      <a:blip r:embed="rId2"/>
                      <a:srcRect/>
                      <a:stretch>
                        <a:fillRect/>
                      </a:stretch>
                    </pic:blipFill>
                    <pic:spPr>
                      <a:xfrm>
                        <a:off x="0" y="0"/>
                        <a:ext cx="0" cy="12700"/>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6CEAC46D" wp14:editId="057E8323">
              <wp:simplePos x="0" y="0"/>
              <wp:positionH relativeFrom="column">
                <wp:posOffset>4357960</wp:posOffset>
              </wp:positionH>
              <wp:positionV relativeFrom="paragraph">
                <wp:posOffset>425768</wp:posOffset>
              </wp:positionV>
              <wp:extent cx="1432651" cy="218440"/>
              <wp:effectExtent l="0" t="0" r="0" b="0"/>
              <wp:wrapNone/>
              <wp:docPr id="1858586966" name="Rectangle 1858586966"/>
              <wp:cNvGraphicFramePr/>
              <a:graphic xmlns:a="http://schemas.openxmlformats.org/drawingml/2006/main">
                <a:graphicData uri="http://schemas.microsoft.com/office/word/2010/wordprocessingShape">
                  <wps:wsp>
                    <wps:cNvSpPr/>
                    <wps:spPr>
                      <a:xfrm>
                        <a:off x="4634437" y="3675543"/>
                        <a:ext cx="1423126" cy="208915"/>
                      </a:xfrm>
                      <a:prstGeom prst="rect">
                        <a:avLst/>
                      </a:prstGeom>
                      <a:noFill/>
                      <a:ln>
                        <a:noFill/>
                      </a:ln>
                    </wps:spPr>
                    <wps:txbx>
                      <w:txbxContent>
                        <w:p w14:paraId="16E20AA1" w14:textId="77777777" w:rsidR="00A60630" w:rsidRDefault="00A60630">
                          <w:pPr>
                            <w:spacing w:line="273" w:lineRule="auto"/>
                            <w:jc w:val="right"/>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4357960</wp:posOffset>
              </wp:positionH>
              <wp:positionV relativeFrom="paragraph">
                <wp:posOffset>425768</wp:posOffset>
              </wp:positionV>
              <wp:extent cx="1432651" cy="218440"/>
              <wp:effectExtent b="0" l="0" r="0" t="0"/>
              <wp:wrapNone/>
              <wp:docPr id="1858586966" name="image7.png"/>
              <a:graphic>
                <a:graphicData uri="http://schemas.openxmlformats.org/drawingml/2006/picture">
                  <pic:pic>
                    <pic:nvPicPr>
                      <pic:cNvPr id="0" name="image7.png"/>
                      <pic:cNvPicPr preferRelativeResize="0"/>
                    </pic:nvPicPr>
                    <pic:blipFill>
                      <a:blip r:embed="rId2"/>
                      <a:srcRect/>
                      <a:stretch>
                        <a:fillRect/>
                      </a:stretch>
                    </pic:blipFill>
                    <pic:spPr>
                      <a:xfrm>
                        <a:off x="0" y="0"/>
                        <a:ext cx="1432651" cy="21844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F3EF1"/>
    <w:multiLevelType w:val="multilevel"/>
    <w:tmpl w:val="B47EEB2E"/>
    <w:lvl w:ilvl="0">
      <w:start w:val="1"/>
      <w:numFmt w:val="bullet"/>
      <w:lvlText w:val="●"/>
      <w:lvlJc w:val="left"/>
      <w:pPr>
        <w:ind w:left="360" w:hanging="360"/>
      </w:pPr>
      <w:rPr>
        <w:rFonts w:ascii="Noto Sans Symbols" w:eastAsia="Noto Sans Symbols" w:hAnsi="Noto Sans Symbols" w:cs="Noto Sans Symbols"/>
      </w:rPr>
    </w:lvl>
    <w:lvl w:ilvl="1">
      <w:numFmt w:val="bullet"/>
      <w:lvlText w:val="•"/>
      <w:lvlJc w:val="left"/>
      <w:pPr>
        <w:ind w:left="1080" w:hanging="360"/>
      </w:pPr>
      <w:rPr>
        <w:rFonts w:ascii="Calibri" w:eastAsia="Calibri" w:hAnsi="Calibri" w:cs="Calibri"/>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30F602CA"/>
    <w:multiLevelType w:val="multilevel"/>
    <w:tmpl w:val="832464A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33700D83"/>
    <w:multiLevelType w:val="multilevel"/>
    <w:tmpl w:val="174C463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3F196E77"/>
    <w:multiLevelType w:val="multilevel"/>
    <w:tmpl w:val="2E6673D6"/>
    <w:lvl w:ilvl="0">
      <w:start w:val="1"/>
      <w:numFmt w:val="bullet"/>
      <w:pStyle w:val="SmallListPara"/>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43AF5897"/>
    <w:multiLevelType w:val="multilevel"/>
    <w:tmpl w:val="D548C8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58E0C4B"/>
    <w:multiLevelType w:val="multilevel"/>
    <w:tmpl w:val="91B4368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6143230E"/>
    <w:multiLevelType w:val="multilevel"/>
    <w:tmpl w:val="16946E82"/>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9116473"/>
    <w:multiLevelType w:val="multilevel"/>
    <w:tmpl w:val="B608CB76"/>
    <w:lvl w:ilvl="0">
      <w:start w:val="1"/>
      <w:numFmt w:val="decimal"/>
      <w:lvlText w:val="%1)"/>
      <w:lvlJc w:val="left"/>
      <w:pPr>
        <w:ind w:left="0" w:firstLine="0"/>
      </w:pPr>
      <w:rPr>
        <w:rFonts w:ascii="Cambria" w:eastAsia="Cambria" w:hAnsi="Cambria" w:cs="Cambria"/>
        <w:b w:val="0"/>
        <w:bCs w:val="0"/>
        <w:i w:val="0"/>
        <w:iCs w:val="0"/>
        <w:strike w:val="0"/>
        <w:color w:val="000000"/>
        <w:sz w:val="18"/>
        <w:szCs w:val="18"/>
        <w:u w:val="none"/>
        <w:shd w:val="clear" w:color="auto" w:fill="auto"/>
        <w:vertAlign w:val="baseline"/>
      </w:rPr>
    </w:lvl>
    <w:lvl w:ilvl="1">
      <w:start w:val="1"/>
      <w:numFmt w:val="lowerLetter"/>
      <w:lvlText w:val="%2"/>
      <w:lvlJc w:val="left"/>
      <w:pPr>
        <w:ind w:left="1188" w:hanging="1188"/>
      </w:pPr>
      <w:rPr>
        <w:rFonts w:ascii="Calibri" w:eastAsia="Calibri" w:hAnsi="Calibri" w:cs="Calibri"/>
        <w:b w:val="0"/>
        <w:bCs w:val="0"/>
        <w:i w:val="0"/>
        <w:iCs w:val="0"/>
        <w:strike w:val="0"/>
        <w:color w:val="000000"/>
        <w:sz w:val="18"/>
        <w:szCs w:val="18"/>
        <w:u w:val="none"/>
        <w:shd w:val="clear" w:color="auto" w:fill="auto"/>
        <w:vertAlign w:val="baseline"/>
      </w:rPr>
    </w:lvl>
    <w:lvl w:ilvl="2">
      <w:start w:val="1"/>
      <w:numFmt w:val="lowerRoman"/>
      <w:lvlText w:val="%3"/>
      <w:lvlJc w:val="left"/>
      <w:pPr>
        <w:ind w:left="1908" w:hanging="1908"/>
      </w:pPr>
      <w:rPr>
        <w:rFonts w:ascii="Calibri" w:eastAsia="Calibri" w:hAnsi="Calibri" w:cs="Calibri"/>
        <w:b w:val="0"/>
        <w:bCs w:val="0"/>
        <w:i w:val="0"/>
        <w:iCs w:val="0"/>
        <w:strike w:val="0"/>
        <w:color w:val="000000"/>
        <w:sz w:val="18"/>
        <w:szCs w:val="18"/>
        <w:u w:val="none"/>
        <w:shd w:val="clear" w:color="auto" w:fill="auto"/>
        <w:vertAlign w:val="baseline"/>
      </w:rPr>
    </w:lvl>
    <w:lvl w:ilvl="3">
      <w:start w:val="1"/>
      <w:numFmt w:val="decimal"/>
      <w:lvlText w:val="%4"/>
      <w:lvlJc w:val="left"/>
      <w:pPr>
        <w:ind w:left="2628" w:hanging="2628"/>
      </w:pPr>
      <w:rPr>
        <w:rFonts w:ascii="Calibri" w:eastAsia="Calibri" w:hAnsi="Calibri" w:cs="Calibri"/>
        <w:b w:val="0"/>
        <w:bCs w:val="0"/>
        <w:i w:val="0"/>
        <w:iCs w:val="0"/>
        <w:strike w:val="0"/>
        <w:color w:val="000000"/>
        <w:sz w:val="18"/>
        <w:szCs w:val="18"/>
        <w:u w:val="none"/>
        <w:shd w:val="clear" w:color="auto" w:fill="auto"/>
        <w:vertAlign w:val="baseline"/>
      </w:rPr>
    </w:lvl>
    <w:lvl w:ilvl="4">
      <w:start w:val="1"/>
      <w:numFmt w:val="lowerLetter"/>
      <w:lvlText w:val="%5"/>
      <w:lvlJc w:val="left"/>
      <w:pPr>
        <w:ind w:left="3348" w:hanging="3348"/>
      </w:pPr>
      <w:rPr>
        <w:rFonts w:ascii="Calibri" w:eastAsia="Calibri" w:hAnsi="Calibri" w:cs="Calibri"/>
        <w:b w:val="0"/>
        <w:bCs w:val="0"/>
        <w:i w:val="0"/>
        <w:iCs w:val="0"/>
        <w:strike w:val="0"/>
        <w:color w:val="000000"/>
        <w:sz w:val="18"/>
        <w:szCs w:val="18"/>
        <w:u w:val="none"/>
        <w:shd w:val="clear" w:color="auto" w:fill="auto"/>
        <w:vertAlign w:val="baseline"/>
      </w:rPr>
    </w:lvl>
    <w:lvl w:ilvl="5">
      <w:start w:val="1"/>
      <w:numFmt w:val="lowerRoman"/>
      <w:lvlText w:val="%6"/>
      <w:lvlJc w:val="left"/>
      <w:pPr>
        <w:ind w:left="4068" w:hanging="4068"/>
      </w:pPr>
      <w:rPr>
        <w:rFonts w:ascii="Calibri" w:eastAsia="Calibri" w:hAnsi="Calibri" w:cs="Calibri"/>
        <w:b w:val="0"/>
        <w:bCs w:val="0"/>
        <w:i w:val="0"/>
        <w:iCs w:val="0"/>
        <w:strike w:val="0"/>
        <w:color w:val="000000"/>
        <w:sz w:val="18"/>
        <w:szCs w:val="18"/>
        <w:u w:val="none"/>
        <w:shd w:val="clear" w:color="auto" w:fill="auto"/>
        <w:vertAlign w:val="baseline"/>
      </w:rPr>
    </w:lvl>
    <w:lvl w:ilvl="6">
      <w:start w:val="1"/>
      <w:numFmt w:val="decimal"/>
      <w:lvlText w:val="%7"/>
      <w:lvlJc w:val="left"/>
      <w:pPr>
        <w:ind w:left="4788" w:hanging="4788"/>
      </w:pPr>
      <w:rPr>
        <w:rFonts w:ascii="Calibri" w:eastAsia="Calibri" w:hAnsi="Calibri" w:cs="Calibri"/>
        <w:b w:val="0"/>
        <w:bCs w:val="0"/>
        <w:i w:val="0"/>
        <w:iCs w:val="0"/>
        <w:strike w:val="0"/>
        <w:color w:val="000000"/>
        <w:sz w:val="18"/>
        <w:szCs w:val="18"/>
        <w:u w:val="none"/>
        <w:shd w:val="clear" w:color="auto" w:fill="auto"/>
        <w:vertAlign w:val="baseline"/>
      </w:rPr>
    </w:lvl>
    <w:lvl w:ilvl="7">
      <w:start w:val="1"/>
      <w:numFmt w:val="lowerLetter"/>
      <w:lvlText w:val="%8"/>
      <w:lvlJc w:val="left"/>
      <w:pPr>
        <w:ind w:left="5508" w:hanging="5508"/>
      </w:pPr>
      <w:rPr>
        <w:rFonts w:ascii="Calibri" w:eastAsia="Calibri" w:hAnsi="Calibri" w:cs="Calibri"/>
        <w:b w:val="0"/>
        <w:bCs w:val="0"/>
        <w:i w:val="0"/>
        <w:iCs w:val="0"/>
        <w:strike w:val="0"/>
        <w:color w:val="000000"/>
        <w:sz w:val="18"/>
        <w:szCs w:val="18"/>
        <w:u w:val="none"/>
        <w:shd w:val="clear" w:color="auto" w:fill="auto"/>
        <w:vertAlign w:val="baseline"/>
      </w:rPr>
    </w:lvl>
    <w:lvl w:ilvl="8">
      <w:start w:val="1"/>
      <w:numFmt w:val="lowerRoman"/>
      <w:lvlText w:val="%9"/>
      <w:lvlJc w:val="left"/>
      <w:pPr>
        <w:ind w:left="6228" w:hanging="6228"/>
      </w:pPr>
      <w:rPr>
        <w:rFonts w:ascii="Calibri" w:eastAsia="Calibri" w:hAnsi="Calibri" w:cs="Calibri"/>
        <w:b w:val="0"/>
        <w:bCs w:val="0"/>
        <w:i w:val="0"/>
        <w:iCs w:val="0"/>
        <w:strike w:val="0"/>
        <w:color w:val="000000"/>
        <w:sz w:val="18"/>
        <w:szCs w:val="18"/>
        <w:u w:val="none"/>
        <w:shd w:val="clear" w:color="auto" w:fill="auto"/>
        <w:vertAlign w:val="baseline"/>
      </w:rPr>
    </w:lvl>
  </w:abstractNum>
  <w:abstractNum w:abstractNumId="8" w15:restartNumberingAfterBreak="0">
    <w:nsid w:val="7E2B07D1"/>
    <w:multiLevelType w:val="multilevel"/>
    <w:tmpl w:val="11182802"/>
    <w:lvl w:ilvl="0">
      <w:start w:val="1"/>
      <w:numFmt w:val="bullet"/>
      <w:pStyle w:val="ListParagraph"/>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166359098">
    <w:abstractNumId w:val="5"/>
  </w:num>
  <w:num w:numId="2" w16cid:durableId="719864459">
    <w:abstractNumId w:val="0"/>
  </w:num>
  <w:num w:numId="3" w16cid:durableId="227884321">
    <w:abstractNumId w:val="2"/>
  </w:num>
  <w:num w:numId="4" w16cid:durableId="789780939">
    <w:abstractNumId w:val="8"/>
  </w:num>
  <w:num w:numId="5" w16cid:durableId="741683729">
    <w:abstractNumId w:val="3"/>
  </w:num>
  <w:num w:numId="6" w16cid:durableId="795834529">
    <w:abstractNumId w:val="1"/>
  </w:num>
  <w:num w:numId="7" w16cid:durableId="500705194">
    <w:abstractNumId w:val="6"/>
  </w:num>
  <w:num w:numId="8" w16cid:durableId="1310204618">
    <w:abstractNumId w:val="4"/>
  </w:num>
  <w:num w:numId="9" w16cid:durableId="79325747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0630"/>
    <w:rsid w:val="0041427B"/>
    <w:rsid w:val="00A60630"/>
    <w:rsid w:val="00FD56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0029BEF"/>
  <w15:docId w15:val="{7877AAAF-781C-4816-868B-4CBC66A15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n" w:eastAsia="en-US" w:bidi="ar-SA"/>
      </w:rPr>
    </w:rPrDefault>
    <w:pPrDefault>
      <w:pPr>
        <w:spacing w:line="27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before="240" w:after="120"/>
      <w:outlineLvl w:val="0"/>
    </w:pPr>
    <w:rPr>
      <w:rFonts w:ascii="Arial" w:eastAsia="Arial" w:hAnsi="Arial" w:cs="Arial"/>
      <w:color w:val="177CA3"/>
      <w:sz w:val="48"/>
      <w:szCs w:val="48"/>
    </w:rPr>
  </w:style>
  <w:style w:type="paragraph" w:styleId="Heading2">
    <w:name w:val="heading 2"/>
    <w:basedOn w:val="Normal"/>
    <w:next w:val="Normal"/>
    <w:link w:val="Heading2Char"/>
    <w:uiPriority w:val="9"/>
    <w:unhideWhenUsed/>
    <w:qFormat/>
    <w:pPr>
      <w:spacing w:before="240" w:after="120" w:line="240" w:lineRule="auto"/>
      <w:outlineLvl w:val="1"/>
    </w:pPr>
    <w:rPr>
      <w:rFonts w:ascii="Arial" w:eastAsia="Arial" w:hAnsi="Arial" w:cs="Arial"/>
      <w:color w:val="177CA3"/>
      <w:sz w:val="32"/>
      <w:szCs w:val="32"/>
    </w:rPr>
  </w:style>
  <w:style w:type="paragraph" w:styleId="Heading3">
    <w:name w:val="heading 3"/>
    <w:basedOn w:val="Normal"/>
    <w:next w:val="Normal"/>
    <w:link w:val="Heading3Char"/>
    <w:uiPriority w:val="9"/>
    <w:semiHidden/>
    <w:unhideWhenUsed/>
    <w:qFormat/>
    <w:pPr>
      <w:spacing w:before="120" w:after="120"/>
      <w:outlineLvl w:val="2"/>
    </w:pPr>
    <w:rPr>
      <w:rFonts w:ascii="Arial" w:eastAsia="Arial" w:hAnsi="Arial" w:cs="Arial"/>
      <w:i/>
      <w:iCs/>
      <w:color w:val="177CA3"/>
      <w:sz w:val="24"/>
      <w:szCs w:val="24"/>
    </w:rPr>
  </w:style>
  <w:style w:type="paragraph" w:styleId="Heading4">
    <w:name w:val="heading 4"/>
    <w:basedOn w:val="Normal"/>
    <w:next w:val="Normal"/>
    <w:link w:val="Heading4Char"/>
    <w:uiPriority w:val="9"/>
    <w:semiHidden/>
    <w:unhideWhenUsed/>
    <w:qFormat/>
    <w:pPr>
      <w:keepNext/>
      <w:keepLines/>
      <w:spacing w:before="200" w:after="80"/>
      <w:outlineLvl w:val="3"/>
    </w:pPr>
    <w:rPr>
      <w:rFonts w:ascii="Arial" w:eastAsia="Arial" w:hAnsi="Arial" w:cs="Arial"/>
      <w:color w:val="177CA3"/>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1Char">
    <w:name w:val="Heading 1 Char"/>
    <w:basedOn w:val="DefaultParagraphFont"/>
    <w:link w:val="Heading1"/>
    <w:uiPriority w:val="9"/>
    <w:rsid w:val="00B0510E"/>
    <w:rPr>
      <w:color w:val="177CA3" w:themeColor="background2"/>
      <w:sz w:val="48"/>
    </w:rPr>
  </w:style>
  <w:style w:type="character" w:customStyle="1" w:styleId="Heading2Char">
    <w:name w:val="Heading 2 Char"/>
    <w:basedOn w:val="DefaultParagraphFont"/>
    <w:link w:val="Heading2"/>
    <w:uiPriority w:val="9"/>
    <w:rsid w:val="00B0510E"/>
    <w:rPr>
      <w:color w:val="177CA3" w:themeColor="background2"/>
      <w:sz w:val="32"/>
    </w:rPr>
  </w:style>
  <w:style w:type="character" w:customStyle="1" w:styleId="Heading3Char">
    <w:name w:val="Heading 3 Char"/>
    <w:basedOn w:val="DefaultParagraphFont"/>
    <w:link w:val="Heading3"/>
    <w:uiPriority w:val="9"/>
    <w:rsid w:val="00B0510E"/>
    <w:rPr>
      <w:i/>
      <w:color w:val="177CA3" w:themeColor="background2"/>
      <w:sz w:val="24"/>
    </w:rPr>
  </w:style>
  <w:style w:type="paragraph" w:customStyle="1" w:styleId="Textbox">
    <w:name w:val="Text box"/>
    <w:basedOn w:val="Heading2"/>
    <w:link w:val="TextboxChar"/>
    <w:qFormat/>
    <w:rsid w:val="00B0510E"/>
    <w:pPr>
      <w:spacing w:before="0"/>
      <w:ind w:right="90"/>
      <w:jc w:val="both"/>
    </w:pPr>
    <w:rPr>
      <w:color w:val="00303C" w:themeColor="text2"/>
      <w:sz w:val="22"/>
    </w:rPr>
  </w:style>
  <w:style w:type="paragraph" w:customStyle="1" w:styleId="FooterTextBox">
    <w:name w:val="Footer Text Box"/>
    <w:basedOn w:val="Normal"/>
    <w:link w:val="FooterTextBoxChar"/>
    <w:qFormat/>
    <w:rsid w:val="00723EFC"/>
    <w:pPr>
      <w:jc w:val="both"/>
    </w:pPr>
    <w:rPr>
      <w:rFonts w:asciiTheme="minorHAnsi" w:hAnsiTheme="minorHAnsi"/>
      <w:sz w:val="20"/>
    </w:rPr>
  </w:style>
  <w:style w:type="character" w:customStyle="1" w:styleId="TextboxChar">
    <w:name w:val="Text box Char"/>
    <w:basedOn w:val="DefaultParagraphFont"/>
    <w:link w:val="Textbox"/>
    <w:rsid w:val="00B0510E"/>
    <w:rPr>
      <w:color w:val="00303C" w:themeColor="text2"/>
    </w:rPr>
  </w:style>
  <w:style w:type="paragraph" w:styleId="Header">
    <w:name w:val="header"/>
    <w:basedOn w:val="Normal"/>
    <w:link w:val="HeaderChar"/>
    <w:uiPriority w:val="99"/>
    <w:unhideWhenUsed/>
    <w:rsid w:val="00723EFC"/>
    <w:pPr>
      <w:tabs>
        <w:tab w:val="center" w:pos="4680"/>
        <w:tab w:val="right" w:pos="9360"/>
      </w:tabs>
    </w:pPr>
  </w:style>
  <w:style w:type="character" w:customStyle="1" w:styleId="FooterTextBoxChar">
    <w:name w:val="Footer Text Box Char"/>
    <w:basedOn w:val="DefaultParagraphFont"/>
    <w:link w:val="FooterTextBox"/>
    <w:rsid w:val="00723EFC"/>
    <w:rPr>
      <w:sz w:val="20"/>
    </w:rPr>
  </w:style>
  <w:style w:type="character" w:customStyle="1" w:styleId="HeaderChar">
    <w:name w:val="Header Char"/>
    <w:basedOn w:val="DefaultParagraphFont"/>
    <w:link w:val="Header"/>
    <w:uiPriority w:val="99"/>
    <w:rsid w:val="00723EFC"/>
    <w:rPr>
      <w:rFonts w:asciiTheme="majorHAnsi" w:hAnsiTheme="majorHAnsi"/>
    </w:rPr>
  </w:style>
  <w:style w:type="paragraph" w:styleId="Footer">
    <w:name w:val="footer"/>
    <w:basedOn w:val="Normal"/>
    <w:link w:val="FooterChar"/>
    <w:uiPriority w:val="99"/>
    <w:unhideWhenUsed/>
    <w:rsid w:val="00723EFC"/>
    <w:pPr>
      <w:tabs>
        <w:tab w:val="center" w:pos="4680"/>
        <w:tab w:val="right" w:pos="9360"/>
      </w:tabs>
    </w:pPr>
  </w:style>
  <w:style w:type="character" w:customStyle="1" w:styleId="FooterChar">
    <w:name w:val="Footer Char"/>
    <w:basedOn w:val="DefaultParagraphFont"/>
    <w:link w:val="Footer"/>
    <w:uiPriority w:val="99"/>
    <w:rsid w:val="00723EFC"/>
    <w:rPr>
      <w:rFonts w:asciiTheme="majorHAnsi" w:hAnsiTheme="majorHAnsi"/>
    </w:rPr>
  </w:style>
  <w:style w:type="character" w:styleId="Hyperlink">
    <w:name w:val="Hyperlink"/>
    <w:basedOn w:val="DefaultParagraphFont"/>
    <w:uiPriority w:val="99"/>
    <w:unhideWhenUsed/>
    <w:rsid w:val="006D1BFA"/>
    <w:rPr>
      <w:color w:val="0000FF"/>
      <w:u w:val="single"/>
    </w:rPr>
  </w:style>
  <w:style w:type="paragraph" w:customStyle="1" w:styleId="IntroText">
    <w:name w:val="Intro Text"/>
    <w:basedOn w:val="Normal"/>
    <w:qFormat/>
    <w:rsid w:val="006D1BFA"/>
    <w:pPr>
      <w:spacing w:after="240" w:line="280" w:lineRule="exact"/>
    </w:pPr>
    <w:rPr>
      <w:rFonts w:ascii="Arial Narrow" w:hAnsi="Arial Narrow"/>
      <w:color w:val="1F497D"/>
    </w:rPr>
  </w:style>
  <w:style w:type="paragraph" w:styleId="BalloonText">
    <w:name w:val="Balloon Text"/>
    <w:basedOn w:val="Normal"/>
    <w:link w:val="BalloonTextChar"/>
    <w:uiPriority w:val="99"/>
    <w:semiHidden/>
    <w:unhideWhenUsed/>
    <w:rsid w:val="00E86159"/>
    <w:rPr>
      <w:rFonts w:ascii="Tahoma" w:hAnsi="Tahoma" w:cs="Tahoma"/>
      <w:sz w:val="16"/>
      <w:szCs w:val="16"/>
    </w:rPr>
  </w:style>
  <w:style w:type="character" w:customStyle="1" w:styleId="BalloonTextChar">
    <w:name w:val="Balloon Text Char"/>
    <w:basedOn w:val="DefaultParagraphFont"/>
    <w:link w:val="BalloonText"/>
    <w:uiPriority w:val="99"/>
    <w:semiHidden/>
    <w:rsid w:val="00E86159"/>
    <w:rPr>
      <w:rFonts w:ascii="Tahoma" w:hAnsi="Tahoma" w:cs="Tahoma"/>
      <w:sz w:val="16"/>
      <w:szCs w:val="16"/>
    </w:rPr>
  </w:style>
  <w:style w:type="paragraph" w:styleId="ListParagraph">
    <w:name w:val="List Paragraph"/>
    <w:basedOn w:val="Normal"/>
    <w:link w:val="ListParagraphChar"/>
    <w:uiPriority w:val="34"/>
    <w:qFormat/>
    <w:rsid w:val="001D57A1"/>
    <w:pPr>
      <w:numPr>
        <w:numId w:val="4"/>
      </w:numPr>
      <w:spacing w:before="120" w:line="276" w:lineRule="auto"/>
    </w:pPr>
  </w:style>
  <w:style w:type="paragraph" w:styleId="FootnoteText">
    <w:name w:val="footnote text"/>
    <w:basedOn w:val="Normal"/>
    <w:link w:val="FootnoteTextChar"/>
    <w:uiPriority w:val="99"/>
    <w:unhideWhenUsed/>
    <w:qFormat/>
    <w:rsid w:val="00F17374"/>
    <w:pPr>
      <w:spacing w:line="240" w:lineRule="auto"/>
    </w:pPr>
    <w:rPr>
      <w:rFonts w:asciiTheme="minorHAnsi" w:hAnsiTheme="minorHAnsi"/>
      <w:sz w:val="18"/>
      <w:szCs w:val="18"/>
    </w:rPr>
  </w:style>
  <w:style w:type="character" w:customStyle="1" w:styleId="FootnoteTextChar">
    <w:name w:val="Footnote Text Char"/>
    <w:basedOn w:val="DefaultParagraphFont"/>
    <w:link w:val="FootnoteText"/>
    <w:uiPriority w:val="99"/>
    <w:rsid w:val="00F17374"/>
    <w:rPr>
      <w:sz w:val="18"/>
      <w:szCs w:val="18"/>
    </w:rPr>
  </w:style>
  <w:style w:type="character" w:styleId="FootnoteReference">
    <w:name w:val="footnote reference"/>
    <w:basedOn w:val="DefaultParagraphFont"/>
    <w:uiPriority w:val="99"/>
    <w:unhideWhenUsed/>
    <w:rsid w:val="00394AB4"/>
    <w:rPr>
      <w:vertAlign w:val="superscript"/>
    </w:rPr>
  </w:style>
  <w:style w:type="paragraph" w:styleId="NormalWeb">
    <w:name w:val="Normal (Web)"/>
    <w:basedOn w:val="Normal"/>
    <w:uiPriority w:val="99"/>
    <w:unhideWhenUsed/>
    <w:rsid w:val="006B6A9C"/>
    <w:pPr>
      <w:spacing w:before="100" w:beforeAutospacing="1" w:after="100" w:afterAutospacing="1" w:line="240" w:lineRule="auto"/>
    </w:pPr>
    <w:rPr>
      <w:rFonts w:ascii="Times New Roman" w:eastAsiaTheme="minorEastAsia" w:hAnsi="Times New Roman" w:cs="Times New Roman"/>
      <w:sz w:val="24"/>
      <w:szCs w:val="24"/>
    </w:rPr>
  </w:style>
  <w:style w:type="character" w:styleId="CommentReference">
    <w:name w:val="annotation reference"/>
    <w:basedOn w:val="DefaultParagraphFont"/>
    <w:uiPriority w:val="99"/>
    <w:semiHidden/>
    <w:unhideWhenUsed/>
    <w:rsid w:val="002133DD"/>
    <w:rPr>
      <w:sz w:val="16"/>
      <w:szCs w:val="16"/>
    </w:rPr>
  </w:style>
  <w:style w:type="paragraph" w:styleId="CommentText">
    <w:name w:val="annotation text"/>
    <w:basedOn w:val="Normal"/>
    <w:link w:val="CommentTextChar"/>
    <w:uiPriority w:val="99"/>
    <w:unhideWhenUsed/>
    <w:rsid w:val="002133DD"/>
    <w:pPr>
      <w:spacing w:after="200"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rsid w:val="002133DD"/>
    <w:rPr>
      <w:sz w:val="20"/>
      <w:szCs w:val="20"/>
    </w:rPr>
  </w:style>
  <w:style w:type="table" w:styleId="TableGrid">
    <w:name w:val="Table Grid"/>
    <w:basedOn w:val="TableNormal"/>
    <w:uiPriority w:val="39"/>
    <w:rsid w:val="00E75B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llListPara">
    <w:name w:val="Small List Para"/>
    <w:basedOn w:val="ListParagraph"/>
    <w:link w:val="SmallListParaChar"/>
    <w:qFormat/>
    <w:rsid w:val="00937A1F"/>
    <w:pPr>
      <w:numPr>
        <w:numId w:val="5"/>
      </w:numPr>
      <w:spacing w:line="240" w:lineRule="auto"/>
      <w:ind w:hanging="274"/>
    </w:pPr>
    <w:rPr>
      <w:rFonts w:asciiTheme="minorHAnsi" w:hAnsiTheme="minorHAnsi"/>
      <w:sz w:val="21"/>
      <w:szCs w:val="21"/>
    </w:rPr>
  </w:style>
  <w:style w:type="character" w:customStyle="1" w:styleId="ListParagraphChar">
    <w:name w:val="List Paragraph Char"/>
    <w:basedOn w:val="DefaultParagraphFont"/>
    <w:link w:val="ListParagraph"/>
    <w:uiPriority w:val="34"/>
    <w:rsid w:val="001D57A1"/>
    <w:rPr>
      <w:rFonts w:ascii="Cambria" w:hAnsi="Cambria"/>
    </w:rPr>
  </w:style>
  <w:style w:type="character" w:customStyle="1" w:styleId="SmallListParaChar">
    <w:name w:val="Small List Para Char"/>
    <w:basedOn w:val="ListParagraphChar"/>
    <w:link w:val="SmallListPara"/>
    <w:rsid w:val="00937A1F"/>
    <w:rPr>
      <w:rFonts w:asciiTheme="majorHAnsi" w:hAnsiTheme="majorHAnsi"/>
      <w:sz w:val="21"/>
      <w:szCs w:val="21"/>
    </w:rPr>
  </w:style>
  <w:style w:type="paragraph" w:customStyle="1" w:styleId="TableCaption">
    <w:name w:val="Table Caption"/>
    <w:basedOn w:val="Normal"/>
    <w:link w:val="TableCaptionChar"/>
    <w:qFormat/>
    <w:rsid w:val="00735F63"/>
    <w:pPr>
      <w:spacing w:before="240" w:after="60" w:line="240" w:lineRule="auto"/>
    </w:pPr>
    <w:rPr>
      <w:rFonts w:asciiTheme="minorHAnsi" w:hAnsiTheme="minorHAnsi"/>
      <w:b/>
      <w:sz w:val="20"/>
    </w:rPr>
  </w:style>
  <w:style w:type="paragraph" w:customStyle="1" w:styleId="References">
    <w:name w:val="References"/>
    <w:basedOn w:val="Normal"/>
    <w:link w:val="ReferencesChar"/>
    <w:qFormat/>
    <w:rsid w:val="001D57A1"/>
    <w:pPr>
      <w:spacing w:after="120"/>
      <w:ind w:left="540" w:hanging="540"/>
    </w:pPr>
    <w:rPr>
      <w:sz w:val="20"/>
    </w:rPr>
  </w:style>
  <w:style w:type="character" w:customStyle="1" w:styleId="TableCaptionChar">
    <w:name w:val="Table Caption Char"/>
    <w:basedOn w:val="DefaultParagraphFont"/>
    <w:link w:val="TableCaption"/>
    <w:rsid w:val="00735F63"/>
    <w:rPr>
      <w:b/>
      <w:sz w:val="20"/>
    </w:rPr>
  </w:style>
  <w:style w:type="paragraph" w:customStyle="1" w:styleId="DisclaimerText">
    <w:name w:val="Disclaimer Text"/>
    <w:basedOn w:val="Normal"/>
    <w:link w:val="DisclaimerTextChar"/>
    <w:qFormat/>
    <w:rsid w:val="00F17374"/>
    <w:pPr>
      <w:spacing w:line="240" w:lineRule="auto"/>
      <w:jc w:val="both"/>
    </w:pPr>
    <w:rPr>
      <w:rFonts w:asciiTheme="minorHAnsi" w:hAnsiTheme="minorHAnsi" w:cs="Arial"/>
      <w:sz w:val="18"/>
      <w:szCs w:val="20"/>
    </w:rPr>
  </w:style>
  <w:style w:type="character" w:customStyle="1" w:styleId="ReferencesChar">
    <w:name w:val="References Char"/>
    <w:basedOn w:val="DefaultParagraphFont"/>
    <w:link w:val="References"/>
    <w:rsid w:val="001D57A1"/>
    <w:rPr>
      <w:rFonts w:ascii="Cambria" w:hAnsi="Cambria"/>
      <w:sz w:val="20"/>
    </w:rPr>
  </w:style>
  <w:style w:type="character" w:customStyle="1" w:styleId="DisclaimerTextChar">
    <w:name w:val="Disclaimer Text Char"/>
    <w:basedOn w:val="DefaultParagraphFont"/>
    <w:link w:val="DisclaimerText"/>
    <w:rsid w:val="00F17374"/>
    <w:rPr>
      <w:rFonts w:cs="Arial"/>
      <w:sz w:val="18"/>
      <w:szCs w:val="20"/>
    </w:rPr>
  </w:style>
  <w:style w:type="character" w:customStyle="1" w:styleId="SubtitleChar">
    <w:name w:val="Subtitle Char"/>
    <w:basedOn w:val="DefaultParagraphFont"/>
    <w:link w:val="Subtitle"/>
    <w:uiPriority w:val="11"/>
    <w:rsid w:val="00F17374"/>
    <w:rPr>
      <w:color w:val="C68804" w:themeColor="accent1" w:themeShade="BF"/>
      <w:sz w:val="36"/>
    </w:rPr>
  </w:style>
  <w:style w:type="character" w:customStyle="1" w:styleId="Heading4Char">
    <w:name w:val="Heading 4 Char"/>
    <w:basedOn w:val="DefaultParagraphFont"/>
    <w:link w:val="Heading4"/>
    <w:uiPriority w:val="9"/>
    <w:rsid w:val="00B0510E"/>
    <w:rPr>
      <w:rFonts w:eastAsiaTheme="majorEastAsia" w:cstheme="majorBidi"/>
      <w:bCs/>
      <w:iCs/>
      <w:color w:val="177CA3" w:themeColor="background2"/>
    </w:rPr>
  </w:style>
  <w:style w:type="character" w:styleId="IntenseEmphasis">
    <w:name w:val="Intense Emphasis"/>
    <w:basedOn w:val="DefaultParagraphFont"/>
    <w:uiPriority w:val="21"/>
    <w:rsid w:val="00CC2E93"/>
    <w:rPr>
      <w:b/>
      <w:bCs/>
      <w:i/>
      <w:iCs/>
      <w:color w:val="FAB215" w:themeColor="accent1"/>
    </w:rPr>
  </w:style>
  <w:style w:type="paragraph" w:styleId="Caption">
    <w:name w:val="caption"/>
    <w:basedOn w:val="Normal"/>
    <w:next w:val="Normal"/>
    <w:link w:val="CaptionChar"/>
    <w:uiPriority w:val="35"/>
    <w:unhideWhenUsed/>
    <w:qFormat/>
    <w:rsid w:val="00CC2E93"/>
    <w:pPr>
      <w:spacing w:after="200" w:line="240" w:lineRule="auto"/>
    </w:pPr>
    <w:rPr>
      <w:b/>
      <w:bCs/>
      <w:color w:val="FAB215" w:themeColor="accent1"/>
      <w:sz w:val="18"/>
      <w:szCs w:val="18"/>
    </w:rPr>
  </w:style>
  <w:style w:type="paragraph" w:styleId="BodyText">
    <w:name w:val="Body Text"/>
    <w:basedOn w:val="Normal"/>
    <w:link w:val="BodyTextChar"/>
    <w:uiPriority w:val="99"/>
    <w:unhideWhenUsed/>
    <w:qFormat/>
    <w:rsid w:val="004A2DC7"/>
    <w:pPr>
      <w:spacing w:line="276" w:lineRule="auto"/>
      <w:ind w:right="576"/>
    </w:pPr>
  </w:style>
  <w:style w:type="character" w:customStyle="1" w:styleId="BodyTextChar">
    <w:name w:val="Body Text Char"/>
    <w:basedOn w:val="DefaultParagraphFont"/>
    <w:link w:val="BodyText"/>
    <w:uiPriority w:val="99"/>
    <w:rsid w:val="004A2DC7"/>
    <w:rPr>
      <w:rFonts w:ascii="Cambria" w:hAnsi="Cambria"/>
    </w:rPr>
  </w:style>
  <w:style w:type="paragraph" w:customStyle="1" w:styleId="Signaturepage">
    <w:name w:val="Signature page"/>
    <w:basedOn w:val="Normal"/>
    <w:qFormat/>
    <w:rsid w:val="004A4F71"/>
    <w:pPr>
      <w:spacing w:line="276" w:lineRule="auto"/>
      <w:jc w:val="right"/>
    </w:pPr>
    <w:rPr>
      <w:rFonts w:asciiTheme="minorHAnsi" w:hAnsiTheme="minorHAnsi"/>
      <w:b/>
      <w:color w:val="4891CE"/>
      <w:sz w:val="24"/>
    </w:rPr>
  </w:style>
  <w:style w:type="table" w:styleId="MediumGrid1-Accent5">
    <w:name w:val="Medium Grid 1 Accent 5"/>
    <w:basedOn w:val="TableNormal"/>
    <w:rsid w:val="004A4F71"/>
    <w:rPr>
      <w:rFonts w:cs="Times New Roman"/>
      <w:sz w:val="20"/>
      <w:szCs w:val="20"/>
    </w:rPr>
    <w:tblPr>
      <w:tblStyleRowBandSize w:val="1"/>
      <w:tblStyleColBandSize w:val="1"/>
      <w:tblBorders>
        <w:top w:val="single" w:sz="8" w:space="0" w:color="DEA566" w:themeColor="accent5" w:themeTint="BF"/>
        <w:left w:val="single" w:sz="8" w:space="0" w:color="DEA566" w:themeColor="accent5" w:themeTint="BF"/>
        <w:bottom w:val="single" w:sz="8" w:space="0" w:color="DEA566" w:themeColor="accent5" w:themeTint="BF"/>
        <w:right w:val="single" w:sz="8" w:space="0" w:color="DEA566" w:themeColor="accent5" w:themeTint="BF"/>
        <w:insideH w:val="single" w:sz="8" w:space="0" w:color="DEA566" w:themeColor="accent5" w:themeTint="BF"/>
        <w:insideV w:val="single" w:sz="8" w:space="0" w:color="DEA566" w:themeColor="accent5" w:themeTint="BF"/>
      </w:tblBorders>
    </w:tblPr>
    <w:tcPr>
      <w:shd w:val="clear" w:color="auto" w:fill="F4E1CC" w:themeFill="accent5" w:themeFillTint="3F"/>
    </w:tcPr>
    <w:tblStylePr w:type="firstRow">
      <w:rPr>
        <w:b/>
        <w:bCs/>
      </w:rPr>
    </w:tblStylePr>
    <w:tblStylePr w:type="lastRow">
      <w:rPr>
        <w:b/>
        <w:bCs/>
      </w:rPr>
      <w:tblPr/>
      <w:tcPr>
        <w:tcBorders>
          <w:top w:val="single" w:sz="18" w:space="0" w:color="DEA566" w:themeColor="accent5" w:themeTint="BF"/>
        </w:tcBorders>
      </w:tcPr>
    </w:tblStylePr>
    <w:tblStylePr w:type="firstCol">
      <w:rPr>
        <w:b/>
        <w:bCs/>
      </w:rPr>
    </w:tblStylePr>
    <w:tblStylePr w:type="lastCol">
      <w:rPr>
        <w:b/>
        <w:bCs/>
      </w:rPr>
    </w:tblStylePr>
    <w:tblStylePr w:type="band1Vert">
      <w:tblPr/>
      <w:tcPr>
        <w:shd w:val="clear" w:color="auto" w:fill="E9C399" w:themeFill="accent5" w:themeFillTint="7F"/>
      </w:tcPr>
    </w:tblStylePr>
    <w:tblStylePr w:type="band1Horz">
      <w:tblPr/>
      <w:tcPr>
        <w:shd w:val="clear" w:color="auto" w:fill="E9C399" w:themeFill="accent5" w:themeFillTint="7F"/>
      </w:tcPr>
    </w:tblStylePr>
  </w:style>
  <w:style w:type="table" w:styleId="LightList-Accent5">
    <w:name w:val="Light List Accent 5"/>
    <w:basedOn w:val="TableNormal"/>
    <w:uiPriority w:val="61"/>
    <w:rsid w:val="00D559E4"/>
    <w:tblPr>
      <w:tblStyleRowBandSize w:val="1"/>
      <w:tblStyleColBandSize w:val="1"/>
      <w:tblBorders>
        <w:top w:val="single" w:sz="8" w:space="0" w:color="D38834" w:themeColor="accent5"/>
        <w:left w:val="single" w:sz="8" w:space="0" w:color="D38834" w:themeColor="accent5"/>
        <w:bottom w:val="single" w:sz="8" w:space="0" w:color="D38834" w:themeColor="accent5"/>
        <w:right w:val="single" w:sz="8" w:space="0" w:color="D38834" w:themeColor="accent5"/>
      </w:tblBorders>
    </w:tblPr>
    <w:tblStylePr w:type="firstRow">
      <w:pPr>
        <w:spacing w:before="0" w:after="0" w:line="240" w:lineRule="auto"/>
      </w:pPr>
      <w:rPr>
        <w:b/>
        <w:bCs/>
        <w:color w:val="FFFFFF" w:themeColor="background1"/>
      </w:rPr>
      <w:tblPr/>
      <w:tcPr>
        <w:shd w:val="clear" w:color="auto" w:fill="D38834" w:themeFill="accent5"/>
      </w:tcPr>
    </w:tblStylePr>
    <w:tblStylePr w:type="lastRow">
      <w:pPr>
        <w:spacing w:before="0" w:after="0" w:line="240" w:lineRule="auto"/>
      </w:pPr>
      <w:rPr>
        <w:b/>
        <w:bCs/>
      </w:rPr>
      <w:tblPr/>
      <w:tcPr>
        <w:tcBorders>
          <w:top w:val="double" w:sz="6" w:space="0" w:color="D38834" w:themeColor="accent5"/>
          <w:left w:val="single" w:sz="8" w:space="0" w:color="D38834" w:themeColor="accent5"/>
          <w:bottom w:val="single" w:sz="8" w:space="0" w:color="D38834" w:themeColor="accent5"/>
          <w:right w:val="single" w:sz="8" w:space="0" w:color="D38834" w:themeColor="accent5"/>
        </w:tcBorders>
      </w:tcPr>
    </w:tblStylePr>
    <w:tblStylePr w:type="firstCol">
      <w:rPr>
        <w:b/>
        <w:bCs/>
      </w:rPr>
    </w:tblStylePr>
    <w:tblStylePr w:type="lastCol">
      <w:rPr>
        <w:b/>
        <w:bCs/>
      </w:rPr>
    </w:tblStylePr>
    <w:tblStylePr w:type="band1Vert">
      <w:tblPr/>
      <w:tcPr>
        <w:tcBorders>
          <w:top w:val="single" w:sz="8" w:space="0" w:color="D38834" w:themeColor="accent5"/>
          <w:left w:val="single" w:sz="8" w:space="0" w:color="D38834" w:themeColor="accent5"/>
          <w:bottom w:val="single" w:sz="8" w:space="0" w:color="D38834" w:themeColor="accent5"/>
          <w:right w:val="single" w:sz="8" w:space="0" w:color="D38834" w:themeColor="accent5"/>
        </w:tcBorders>
      </w:tcPr>
    </w:tblStylePr>
    <w:tblStylePr w:type="band1Horz">
      <w:tblPr/>
      <w:tcPr>
        <w:tcBorders>
          <w:top w:val="single" w:sz="8" w:space="0" w:color="D38834" w:themeColor="accent5"/>
          <w:left w:val="single" w:sz="8" w:space="0" w:color="D38834" w:themeColor="accent5"/>
          <w:bottom w:val="single" w:sz="8" w:space="0" w:color="D38834" w:themeColor="accent5"/>
          <w:right w:val="single" w:sz="8" w:space="0" w:color="D38834" w:themeColor="accent5"/>
        </w:tcBorders>
      </w:tcPr>
    </w:tblStylePr>
  </w:style>
  <w:style w:type="paragraph" w:styleId="CommentSubject">
    <w:name w:val="annotation subject"/>
    <w:basedOn w:val="CommentText"/>
    <w:next w:val="CommentText"/>
    <w:link w:val="CommentSubjectChar"/>
    <w:uiPriority w:val="99"/>
    <w:semiHidden/>
    <w:unhideWhenUsed/>
    <w:rsid w:val="00587FB7"/>
    <w:pPr>
      <w:spacing w:after="0"/>
    </w:pPr>
    <w:rPr>
      <w:rFonts w:asciiTheme="majorHAnsi" w:hAnsiTheme="majorHAnsi"/>
      <w:b/>
      <w:bCs/>
    </w:rPr>
  </w:style>
  <w:style w:type="character" w:customStyle="1" w:styleId="CommentSubjectChar">
    <w:name w:val="Comment Subject Char"/>
    <w:basedOn w:val="CommentTextChar"/>
    <w:link w:val="CommentSubject"/>
    <w:uiPriority w:val="99"/>
    <w:semiHidden/>
    <w:rsid w:val="00587FB7"/>
    <w:rPr>
      <w:rFonts w:asciiTheme="majorHAnsi" w:hAnsiTheme="majorHAnsi"/>
      <w:b/>
      <w:bCs/>
      <w:sz w:val="20"/>
      <w:szCs w:val="20"/>
    </w:rPr>
  </w:style>
  <w:style w:type="paragraph" w:styleId="DocumentMap">
    <w:name w:val="Document Map"/>
    <w:basedOn w:val="Normal"/>
    <w:link w:val="DocumentMapChar"/>
    <w:uiPriority w:val="99"/>
    <w:semiHidden/>
    <w:unhideWhenUsed/>
    <w:rsid w:val="00B33D0E"/>
    <w:pPr>
      <w:spacing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33D0E"/>
    <w:rPr>
      <w:rFonts w:ascii="Lucida Grande" w:hAnsi="Lucida Grande" w:cs="Lucida Grande"/>
      <w:sz w:val="24"/>
      <w:szCs w:val="24"/>
    </w:rPr>
  </w:style>
  <w:style w:type="paragraph" w:styleId="Revision">
    <w:name w:val="Revision"/>
    <w:hidden/>
    <w:uiPriority w:val="99"/>
    <w:semiHidden/>
    <w:rsid w:val="005E6E64"/>
    <w:rPr>
      <w:rFonts w:asciiTheme="majorHAnsi" w:hAnsiTheme="majorHAnsi"/>
    </w:rPr>
  </w:style>
  <w:style w:type="paragraph" w:customStyle="1" w:styleId="Authors">
    <w:name w:val="Authors"/>
    <w:basedOn w:val="Heading3"/>
    <w:link w:val="AuthorsChar"/>
    <w:qFormat/>
    <w:rsid w:val="00CA776C"/>
  </w:style>
  <w:style w:type="character" w:customStyle="1" w:styleId="AuthorsChar">
    <w:name w:val="Authors Char"/>
    <w:basedOn w:val="Heading3Char"/>
    <w:link w:val="Authors"/>
    <w:rsid w:val="00CA776C"/>
    <w:rPr>
      <w:i/>
      <w:color w:val="0070C0"/>
      <w:sz w:val="24"/>
    </w:rPr>
  </w:style>
  <w:style w:type="paragraph" w:customStyle="1" w:styleId="SourceCaption">
    <w:name w:val="Source Caption"/>
    <w:basedOn w:val="Caption"/>
    <w:link w:val="SourceCaptionChar"/>
    <w:qFormat/>
    <w:rsid w:val="0046467C"/>
    <w:pPr>
      <w:spacing w:before="60" w:after="240"/>
    </w:pPr>
    <w:rPr>
      <w:rFonts w:asciiTheme="minorHAnsi" w:hAnsiTheme="minorHAnsi"/>
      <w:b w:val="0"/>
      <w:i/>
      <w:color w:val="auto"/>
    </w:rPr>
  </w:style>
  <w:style w:type="character" w:customStyle="1" w:styleId="CaptionChar">
    <w:name w:val="Caption Char"/>
    <w:basedOn w:val="DefaultParagraphFont"/>
    <w:link w:val="Caption"/>
    <w:uiPriority w:val="35"/>
    <w:rsid w:val="0046467C"/>
    <w:rPr>
      <w:rFonts w:asciiTheme="majorHAnsi" w:hAnsiTheme="majorHAnsi"/>
      <w:b/>
      <w:bCs/>
      <w:color w:val="FAB215" w:themeColor="accent1"/>
      <w:sz w:val="18"/>
      <w:szCs w:val="18"/>
    </w:rPr>
  </w:style>
  <w:style w:type="character" w:customStyle="1" w:styleId="SourceCaptionChar">
    <w:name w:val="Source Caption Char"/>
    <w:basedOn w:val="CaptionChar"/>
    <w:link w:val="SourceCaption"/>
    <w:rsid w:val="0046467C"/>
    <w:rPr>
      <w:rFonts w:asciiTheme="majorHAnsi" w:hAnsiTheme="majorHAnsi"/>
      <w:b w:val="0"/>
      <w:bCs/>
      <w:i/>
      <w:color w:val="FAB215" w:themeColor="accent1"/>
      <w:sz w:val="18"/>
      <w:szCs w:val="18"/>
    </w:rPr>
  </w:style>
  <w:style w:type="table" w:styleId="ListTable3-Accent2">
    <w:name w:val="List Table 3 Accent 2"/>
    <w:basedOn w:val="TableNormal"/>
    <w:uiPriority w:val="48"/>
    <w:rsid w:val="00856260"/>
    <w:tblPr>
      <w:tblStyleRowBandSize w:val="1"/>
      <w:tblStyleColBandSize w:val="1"/>
      <w:tblBorders>
        <w:top w:val="single" w:sz="4" w:space="0" w:color="2093C6" w:themeColor="accent2"/>
        <w:left w:val="single" w:sz="4" w:space="0" w:color="2093C6" w:themeColor="accent2"/>
        <w:bottom w:val="single" w:sz="4" w:space="0" w:color="2093C6" w:themeColor="accent2"/>
        <w:right w:val="single" w:sz="4" w:space="0" w:color="2093C6" w:themeColor="accent2"/>
      </w:tblBorders>
    </w:tblPr>
    <w:tblStylePr w:type="firstRow">
      <w:rPr>
        <w:b/>
        <w:bCs/>
        <w:color w:val="FFFFFF" w:themeColor="background1"/>
      </w:rPr>
      <w:tblPr/>
      <w:tcPr>
        <w:shd w:val="clear" w:color="auto" w:fill="2093C6" w:themeFill="accent2"/>
      </w:tcPr>
    </w:tblStylePr>
    <w:tblStylePr w:type="lastRow">
      <w:rPr>
        <w:b/>
        <w:bCs/>
      </w:rPr>
      <w:tblPr/>
      <w:tcPr>
        <w:tcBorders>
          <w:top w:val="double" w:sz="4" w:space="0" w:color="2093C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93C6" w:themeColor="accent2"/>
          <w:right w:val="single" w:sz="4" w:space="0" w:color="2093C6" w:themeColor="accent2"/>
        </w:tcBorders>
      </w:tcPr>
    </w:tblStylePr>
    <w:tblStylePr w:type="band1Horz">
      <w:tblPr/>
      <w:tcPr>
        <w:tcBorders>
          <w:top w:val="single" w:sz="4" w:space="0" w:color="2093C6" w:themeColor="accent2"/>
          <w:bottom w:val="single" w:sz="4" w:space="0" w:color="2093C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93C6" w:themeColor="accent2"/>
          <w:left w:val="nil"/>
        </w:tcBorders>
      </w:tcPr>
    </w:tblStylePr>
    <w:tblStylePr w:type="swCell">
      <w:tblPr/>
      <w:tcPr>
        <w:tcBorders>
          <w:top w:val="double" w:sz="4" w:space="0" w:color="2093C6" w:themeColor="accent2"/>
          <w:right w:val="nil"/>
        </w:tcBorders>
      </w:tcPr>
    </w:tblStylePr>
  </w:style>
  <w:style w:type="paragraph" w:styleId="NoSpacing">
    <w:name w:val="No Spacing"/>
    <w:uiPriority w:val="1"/>
    <w:qFormat/>
    <w:rsid w:val="00305637"/>
    <w:rPr>
      <w:kern w:val="2"/>
    </w:rPr>
  </w:style>
  <w:style w:type="character" w:styleId="PageNumber">
    <w:name w:val="page number"/>
    <w:basedOn w:val="DefaultParagraphFont"/>
    <w:uiPriority w:val="99"/>
    <w:semiHidden/>
    <w:unhideWhenUsed/>
    <w:rsid w:val="00925984"/>
  </w:style>
  <w:style w:type="character" w:styleId="UnresolvedMention">
    <w:name w:val="Unresolved Mention"/>
    <w:basedOn w:val="DefaultParagraphFont"/>
    <w:uiPriority w:val="99"/>
    <w:semiHidden/>
    <w:unhideWhenUsed/>
    <w:rsid w:val="004D1DA0"/>
    <w:rPr>
      <w:color w:val="605E5C"/>
      <w:shd w:val="clear" w:color="auto" w:fill="E1DFDD"/>
    </w:rPr>
  </w:style>
  <w:style w:type="paragraph" w:styleId="Subtitle">
    <w:name w:val="Subtitle"/>
    <w:basedOn w:val="Normal"/>
    <w:next w:val="Normal"/>
    <w:link w:val="SubtitleChar"/>
    <w:uiPriority w:val="11"/>
    <w:qFormat/>
    <w:pPr>
      <w:spacing w:after="120" w:line="240" w:lineRule="auto"/>
    </w:pPr>
    <w:rPr>
      <w:rFonts w:ascii="Arial" w:eastAsia="Arial" w:hAnsi="Arial" w:cs="Arial"/>
      <w:color w:val="177CA3"/>
      <w:sz w:val="36"/>
      <w:szCs w:val="36"/>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e.gov/scep/energy-efficiency-revolving-loan-fund-capitalization-grant-program" TargetMode="External"/><Relationship Id="rId13" Type="http://schemas.openxmlformats.org/officeDocument/2006/relationships/header" Target="header1.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s://www.energy.gov/infrastructure/davis-bacon-act"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emp.lbl.gov/publication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ortfoliomanager.energystar.gov/pm/login?testEnv=fals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hyperlink" Target="https://portfoliomanager.energystar.gov/pm/login?testEnv=false" TargetMode="External"/><Relationship Id="rId19" Type="http://schemas.openxmlformats.org/officeDocument/2006/relationships/hyperlink" Target="https://emp.lbl.gov/" TargetMode="External"/><Relationship Id="rId4" Type="http://schemas.openxmlformats.org/officeDocument/2006/relationships/settings" Target="settings.xml"/><Relationship Id="rId9" Type="http://schemas.openxmlformats.org/officeDocument/2006/relationships/hyperlink" Target="https://portfoliomanager.energystar.gov/pm/login?testEnv=false" TargetMode="External"/><Relationship Id="rId14" Type="http://schemas.openxmlformats.org/officeDocument/2006/relationships/header" Target="header2.xm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s://emp.lbl.gov/mailing-lis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5.png"/></Relationships>
</file>

<file path=word/theme/theme1.xml><?xml version="1.0" encoding="utf-8"?>
<a:theme xmlns:a="http://schemas.openxmlformats.org/drawingml/2006/main" name="ETA">
  <a:themeElements>
    <a:clrScheme name="ETA Color">
      <a:dk1>
        <a:srgbClr val="000000"/>
      </a:dk1>
      <a:lt1>
        <a:srgbClr val="FFFFFF"/>
      </a:lt1>
      <a:dk2>
        <a:srgbClr val="00303C"/>
      </a:dk2>
      <a:lt2>
        <a:srgbClr val="177CA3"/>
      </a:lt2>
      <a:accent1>
        <a:srgbClr val="FAB215"/>
      </a:accent1>
      <a:accent2>
        <a:srgbClr val="2093C6"/>
      </a:accent2>
      <a:accent3>
        <a:srgbClr val="49AEA8"/>
      </a:accent3>
      <a:accent4>
        <a:srgbClr val="618C46"/>
      </a:accent4>
      <a:accent5>
        <a:srgbClr val="D38834"/>
      </a:accent5>
      <a:accent6>
        <a:srgbClr val="65679F"/>
      </a:accent6>
      <a:hlink>
        <a:srgbClr val="2093C6"/>
      </a:hlink>
      <a:folHlink>
        <a:srgbClr val="65679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ETA" id="{7A98F2A9-4523-7247-B652-0C49E704596C}" vid="{62D48B5A-64D3-AC45-B31F-C7B05BCADCF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oGqdCLgd6LDK4YcwWb0YLBSULw==">CgMxLjA4AHIhMTQ2em93clhCWjRXZm01SVpqYVlNdnlHNFJ3YkFkdlJp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2285</Words>
  <Characters>13030</Characters>
  <Application>Microsoft Office Word</Application>
  <DocSecurity>0</DocSecurity>
  <Lines>108</Lines>
  <Paragraphs>30</Paragraphs>
  <ScaleCrop>false</ScaleCrop>
  <Company/>
  <LinksUpToDate>false</LinksUpToDate>
  <CharactersWithSpaces>15285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drobson</dc:creator>
  <cp:lastModifiedBy>Jeff Pitkin</cp:lastModifiedBy>
  <cp:revision>2</cp:revision>
  <dcterms:created xsi:type="dcterms:W3CDTF">2026-01-06T20:41:00Z</dcterms:created>
  <dcterms:modified xsi:type="dcterms:W3CDTF">2026-01-06T20:41:00Z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0x0101001B457125DE66DB47A9F05D706DB1418F</vt:lpwstr>
  </property>
  <property fmtid="{D5CDD505-2E9C-101B-9397-08002B2CF9AE}" pid="3" name="MediaServiceImageTags">
    <vt:lpwstr/>
  </property>
</Properties>
</file>